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EC7504" w:rsidRPr="00EC7504" w14:paraId="51785C2C" w14:textId="77777777" w:rsidTr="007E0CA6">
        <w:tc>
          <w:tcPr>
            <w:tcW w:w="2160" w:type="dxa"/>
            <w:shd w:val="clear" w:color="auto" w:fill="auto"/>
          </w:tcPr>
          <w:p w14:paraId="22FFFC22" w14:textId="212049D5" w:rsidR="00EC7504" w:rsidRPr="00EC7504" w:rsidRDefault="00EC7504" w:rsidP="007E0CA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Prilog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14:paraId="0502EBB7" w14:textId="44E32733" w:rsidR="00EC7504" w:rsidRDefault="00EC7504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9639CED" w14:textId="77777777" w:rsidR="00EC7504" w:rsidRPr="008A64B2" w:rsidRDefault="00EC7504" w:rsidP="00EC75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E4A149A" w14:textId="74AE5109" w:rsidR="008510D7" w:rsidRPr="008A64B2" w:rsidRDefault="003B143F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UZ </w:t>
      </w:r>
      <w:r w:rsidR="00FE0D33">
        <w:rPr>
          <w:rFonts w:ascii="Times New Roman" w:hAnsi="Times New Roman" w:cs="Times New Roman"/>
          <w:b/>
          <w:sz w:val="28"/>
          <w:szCs w:val="28"/>
        </w:rPr>
        <w:t>SUGLASNOST</w:t>
      </w:r>
      <w:r w:rsidR="00FE0D33" w:rsidRPr="008A6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3D8" w:rsidRPr="008A64B2">
        <w:rPr>
          <w:rFonts w:ascii="Times New Roman" w:hAnsi="Times New Roman" w:cs="Times New Roman"/>
          <w:b/>
          <w:sz w:val="28"/>
          <w:szCs w:val="28"/>
        </w:rPr>
        <w:t xml:space="preserve">PREDSTAVNIČKOG TIJELA JEDINICE LOKALNE SAMOUPRAVE </w:t>
      </w:r>
      <w:r w:rsidR="004B5FB5" w:rsidRPr="004B5FB5">
        <w:rPr>
          <w:rFonts w:ascii="Times New Roman" w:hAnsi="Times New Roman" w:cs="Times New Roman"/>
          <w:b/>
          <w:sz w:val="28"/>
          <w:szCs w:val="28"/>
        </w:rPr>
        <w:t>ZA PROVEDBU ULAGANJA</w:t>
      </w:r>
    </w:p>
    <w:p w14:paraId="7B055778" w14:textId="64791D86" w:rsidR="00A60967" w:rsidRDefault="00854B6B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FED">
        <w:rPr>
          <w:rFonts w:ascii="Times New Roman" w:hAnsi="Times New Roman" w:cs="Times New Roman"/>
          <w:b/>
          <w:sz w:val="28"/>
          <w:szCs w:val="28"/>
        </w:rPr>
        <w:t>(KLASA: _________________ URBROJ: _________________ )</w:t>
      </w:r>
    </w:p>
    <w:p w14:paraId="156E7A4C" w14:textId="77777777" w:rsidR="00C35F16" w:rsidRPr="008A64B2" w:rsidRDefault="00C35F16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CD0D23" w14:textId="77777777" w:rsidR="00C35F16" w:rsidRPr="00C35F16" w:rsidRDefault="00C35F16" w:rsidP="00C35F16">
      <w:pPr>
        <w:shd w:val="clear" w:color="auto" w:fill="FFFFFF" w:themeFill="background1"/>
        <w:spacing w:after="0"/>
        <w:ind w:right="-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F16">
        <w:rPr>
          <w:rFonts w:ascii="Times New Roman" w:hAnsi="Times New Roman" w:cs="Times New Roman"/>
          <w:b/>
          <w:sz w:val="24"/>
          <w:szCs w:val="24"/>
        </w:rPr>
        <w:t xml:space="preserve">UNUTAR TIPA OPERACIJE 2.1.1 "RAZVOJ OPĆE DRUŠTVENE INFRASTRUKTURE U SVRHU PODIZANJA KVALITETE ŽIVOTA STANOVNIKA LAG-a"  </w:t>
      </w:r>
    </w:p>
    <w:p w14:paraId="267DB42F" w14:textId="77777777" w:rsidR="00C35F16" w:rsidRPr="00C35F16" w:rsidRDefault="00C35F16" w:rsidP="00C35F16">
      <w:pPr>
        <w:shd w:val="clear" w:color="auto" w:fill="FFFFFF" w:themeFill="background1"/>
        <w:spacing w:after="0"/>
        <w:ind w:right="-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F16">
        <w:rPr>
          <w:rFonts w:ascii="Times New Roman" w:hAnsi="Times New Roman" w:cs="Times New Roman"/>
          <w:b/>
          <w:sz w:val="24"/>
          <w:szCs w:val="24"/>
        </w:rPr>
        <w:t>LOKALNE RAZVOJNE STRATEGIJE LAG-a „MOSLAVINA“</w:t>
      </w:r>
    </w:p>
    <w:p w14:paraId="0100D784" w14:textId="77777777" w:rsidR="008510D7" w:rsidRPr="00C35F16" w:rsidRDefault="008510D7" w:rsidP="008E2C1A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72007B3" w14:textId="4ED2BCFB" w:rsidR="008510D7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OPIS PROJEKTA</w:t>
      </w:r>
    </w:p>
    <w:p w14:paraId="42D42878" w14:textId="77777777" w:rsidR="00C11E4C" w:rsidRPr="008A64B2" w:rsidRDefault="00443812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1. NAZIV PROJEKTA</w:t>
      </w:r>
    </w:p>
    <w:p w14:paraId="60215BE5" w14:textId="77777777" w:rsidR="00443812" w:rsidRPr="008A64B2" w:rsidRDefault="0044381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naziv</w:t>
      </w:r>
      <w:r w:rsidR="00B72EEB"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iz projektne dokumentacije/građevinske dozvole ili drugog </w:t>
      </w:r>
      <w:r w:rsidR="00C94A23" w:rsidRPr="008A64B2">
        <w:rPr>
          <w:rFonts w:ascii="Times New Roman" w:hAnsi="Times New Roman" w:cs="Times New Roman"/>
          <w:i/>
          <w:sz w:val="24"/>
          <w:szCs w:val="24"/>
        </w:rPr>
        <w:t>odgovarajućeg dokumenta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Reetkatablice"/>
        <w:tblW w:w="9637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35F16" w14:paraId="1E408A62" w14:textId="77777777" w:rsidTr="008D4EA5">
        <w:trPr>
          <w:trHeight w:val="420"/>
        </w:trPr>
        <w:tc>
          <w:tcPr>
            <w:tcW w:w="9637" w:type="dxa"/>
            <w:vAlign w:val="bottom"/>
          </w:tcPr>
          <w:p w14:paraId="781023F6" w14:textId="732327EB" w:rsidR="00C35F16" w:rsidRDefault="001B2950" w:rsidP="008D4EA5">
            <w:pP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</w:pPr>
            <w:bookmarkStart w:id="0" w:name="_Hlk86062502"/>
            <w: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  <w:t>IZGRADNJA SPORTSKOG IGRALIŠTA U DUBROVČAKU LIJEVOM</w:t>
            </w:r>
          </w:p>
        </w:tc>
      </w:tr>
      <w:tr w:rsidR="00C35F16" w14:paraId="61C19C3F" w14:textId="77777777" w:rsidTr="008D4EA5">
        <w:trPr>
          <w:trHeight w:val="420"/>
        </w:trPr>
        <w:tc>
          <w:tcPr>
            <w:tcW w:w="9637" w:type="dxa"/>
            <w:vAlign w:val="bottom"/>
          </w:tcPr>
          <w:p w14:paraId="2D098860" w14:textId="77777777" w:rsidR="00C35F16" w:rsidRDefault="00C35F16" w:rsidP="008D4EA5">
            <w:pP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</w:pPr>
          </w:p>
        </w:tc>
      </w:tr>
      <w:bookmarkEnd w:id="0"/>
    </w:tbl>
    <w:p w14:paraId="363C3A4B" w14:textId="77777777" w:rsidR="002D623E" w:rsidRPr="002D623E" w:rsidRDefault="002D623E" w:rsidP="0093730F">
      <w:pPr>
        <w:jc w:val="both"/>
        <w:rPr>
          <w:rFonts w:ascii="Times New Roman" w:hAnsi="Times New Roman" w:cs="Times New Roman"/>
        </w:rPr>
      </w:pPr>
    </w:p>
    <w:p w14:paraId="0F51084E" w14:textId="51571666" w:rsidR="00443812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C360C">
        <w:rPr>
          <w:rFonts w:ascii="Times New Roman" w:hAnsi="Times New Roman" w:cs="Times New Roman"/>
          <w:b/>
          <w:sz w:val="24"/>
          <w:szCs w:val="24"/>
        </w:rPr>
        <w:t>NOSITELJ</w:t>
      </w:r>
      <w:r w:rsidR="00443812" w:rsidRPr="008A64B2">
        <w:rPr>
          <w:rFonts w:ascii="Times New Roman" w:hAnsi="Times New Roman" w:cs="Times New Roman"/>
          <w:b/>
          <w:sz w:val="24"/>
          <w:szCs w:val="24"/>
        </w:rPr>
        <w:t xml:space="preserve"> PROJEKTA</w:t>
      </w:r>
    </w:p>
    <w:p w14:paraId="32B852A2" w14:textId="68DA77C4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2.1. NAZIV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2"/>
      </w:tblGrid>
      <w:tr w:rsidR="00C35F16" w14:paraId="05117CD5" w14:textId="77777777" w:rsidTr="008D4EA5">
        <w:trPr>
          <w:trHeight w:val="380"/>
        </w:trPr>
        <w:tc>
          <w:tcPr>
            <w:tcW w:w="9628" w:type="dxa"/>
            <w:vAlign w:val="bottom"/>
          </w:tcPr>
          <w:p w14:paraId="331D45F4" w14:textId="50011A38" w:rsidR="00C35F16" w:rsidRDefault="0003783C" w:rsidP="008D4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 Ivanić - Grad</w:t>
            </w:r>
          </w:p>
        </w:tc>
      </w:tr>
    </w:tbl>
    <w:p w14:paraId="6446D077" w14:textId="110ED2A9" w:rsidR="00392C89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B8473D" w14:textId="72AA5238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2.2. PRAVNI STATUS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2"/>
      </w:tblGrid>
      <w:tr w:rsidR="00C35F16" w14:paraId="104DB61B" w14:textId="77777777" w:rsidTr="008D4EA5">
        <w:trPr>
          <w:trHeight w:val="380"/>
        </w:trPr>
        <w:tc>
          <w:tcPr>
            <w:tcW w:w="9628" w:type="dxa"/>
            <w:vAlign w:val="bottom"/>
          </w:tcPr>
          <w:p w14:paraId="08FDEBDA" w14:textId="5BC9563D" w:rsidR="00C35F16" w:rsidRDefault="0003783C" w:rsidP="008D4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Jedinica lokalne samouprave</w:t>
            </w:r>
          </w:p>
        </w:tc>
      </w:tr>
    </w:tbl>
    <w:p w14:paraId="452763DA" w14:textId="77777777" w:rsidR="00C35F16" w:rsidRDefault="00C35F1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777216" w14:textId="7B88AB7A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 ADRESA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2"/>
      </w:tblGrid>
      <w:tr w:rsidR="00C35F16" w14:paraId="4F366B10" w14:textId="77777777" w:rsidTr="008D4EA5">
        <w:trPr>
          <w:trHeight w:val="380"/>
        </w:trPr>
        <w:tc>
          <w:tcPr>
            <w:tcW w:w="9628" w:type="dxa"/>
            <w:vAlign w:val="bottom"/>
          </w:tcPr>
          <w:p w14:paraId="78B83E2E" w14:textId="185F11A0" w:rsidR="00C35F16" w:rsidRDefault="0003783C" w:rsidP="008D4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 hrvatskih branitelja 1 , 10310 Ivanić - Grad</w:t>
            </w:r>
          </w:p>
        </w:tc>
      </w:tr>
    </w:tbl>
    <w:p w14:paraId="3D60AD0E" w14:textId="132E77D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DBBDB0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OSOBA OVLAŠTENA ZA ZASTUPANJE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2"/>
      </w:tblGrid>
      <w:tr w:rsidR="00C35F16" w14:paraId="61291C0D" w14:textId="77777777" w:rsidTr="008D4EA5">
        <w:trPr>
          <w:trHeight w:val="380"/>
        </w:trPr>
        <w:tc>
          <w:tcPr>
            <w:tcW w:w="9628" w:type="dxa"/>
            <w:vAlign w:val="bottom"/>
          </w:tcPr>
          <w:p w14:paraId="55BA24F8" w14:textId="7A7E276E" w:rsidR="00C35F16" w:rsidRDefault="0003783C" w:rsidP="008D4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Javor Bojan Leš, </w:t>
            </w:r>
            <w:r w:rsidRPr="0003783C">
              <w:rPr>
                <w:rFonts w:ascii="Times New Roman" w:hAnsi="Times New Roman" w:cs="Times New Roman"/>
                <w:sz w:val="24"/>
                <w:szCs w:val="24"/>
              </w:rPr>
              <w:t>Gradonačelnik</w:t>
            </w:r>
          </w:p>
        </w:tc>
      </w:tr>
    </w:tbl>
    <w:p w14:paraId="4570529D" w14:textId="77777777" w:rsidR="00C35F16" w:rsidRDefault="00C35F16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860BBA" w14:textId="7A0FA66B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KONTAKT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2"/>
      </w:tblGrid>
      <w:tr w:rsidR="00C35F16" w14:paraId="407F224E" w14:textId="77777777" w:rsidTr="008D4EA5">
        <w:trPr>
          <w:trHeight w:val="380"/>
        </w:trPr>
        <w:tc>
          <w:tcPr>
            <w:tcW w:w="9628" w:type="dxa"/>
            <w:vAlign w:val="bottom"/>
          </w:tcPr>
          <w:p w14:paraId="597D8C60" w14:textId="60C396D1" w:rsidR="00C35F16" w:rsidRDefault="006F497F" w:rsidP="008D4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7F">
              <w:rPr>
                <w:rFonts w:ascii="Times New Roman" w:hAnsi="Times New Roman" w:cs="Times New Roman"/>
                <w:sz w:val="24"/>
                <w:szCs w:val="24"/>
              </w:rPr>
              <w:t>Martin Madaras (01)2831373 ; 098/ 261711 ; martin.madaras@ivanic-grad.hr</w:t>
            </w:r>
          </w:p>
        </w:tc>
      </w:tr>
    </w:tbl>
    <w:p w14:paraId="5ECFE2EE" w14:textId="7CF4C920" w:rsidR="00722F5F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lastRenderedPageBreak/>
        <w:t>3. OPIS PROJEKTA</w:t>
      </w:r>
    </w:p>
    <w:p w14:paraId="6841B8D3" w14:textId="77777777" w:rsidR="005147C7" w:rsidRPr="008A64B2" w:rsidRDefault="00722F5F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 PODMJERA</w:t>
      </w:r>
      <w:r w:rsidR="004522E9" w:rsidRPr="008A64B2">
        <w:rPr>
          <w:rFonts w:ascii="Times New Roman" w:hAnsi="Times New Roman" w:cs="Times New Roman"/>
          <w:sz w:val="24"/>
          <w:szCs w:val="24"/>
        </w:rPr>
        <w:t xml:space="preserve"> I </w:t>
      </w:r>
      <w:r w:rsidRPr="008A64B2">
        <w:rPr>
          <w:rFonts w:ascii="Times New Roman" w:hAnsi="Times New Roman" w:cs="Times New Roman"/>
          <w:sz w:val="24"/>
          <w:szCs w:val="24"/>
        </w:rPr>
        <w:t>TIP OPERACIJE ZA KOJI SE PROJEKT PRIJAVLJUJE</w:t>
      </w:r>
    </w:p>
    <w:p w14:paraId="3C5C53DD" w14:textId="4C3ACFE9" w:rsidR="00722F5F" w:rsidRPr="00C35F16" w:rsidRDefault="00C35F16" w:rsidP="00722F5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35F16">
        <w:rPr>
          <w:rFonts w:ascii="Times New Roman" w:hAnsi="Times New Roman" w:cs="Times New Roman"/>
          <w:iCs/>
          <w:sz w:val="24"/>
          <w:szCs w:val="24"/>
        </w:rPr>
        <w:t>TO 2.1.1. „Razvoj opće društvene infrastrukture u svrhu podizanja kvalitete života stanovnika LAG-a“ unutar Lokalne razvojne strategije LAG-a „Moslavina“</w:t>
      </w:r>
    </w:p>
    <w:p w14:paraId="3D0A1DA0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3.1.1. PODMJERA</w:t>
      </w:r>
    </w:p>
    <w:p w14:paraId="495D3889" w14:textId="77777777" w:rsidR="00C35F16" w:rsidRPr="00C35F16" w:rsidRDefault="00C35F16" w:rsidP="00C35F16">
      <w:pPr>
        <w:rPr>
          <w:rFonts w:ascii="Times New Roman" w:hAnsi="Times New Roman" w:cs="Times New Roman"/>
          <w:sz w:val="24"/>
          <w:szCs w:val="24"/>
        </w:rPr>
      </w:pPr>
      <w:r w:rsidRPr="00C35F16">
        <w:rPr>
          <w:rFonts w:ascii="Times New Roman" w:hAnsi="Times New Roman" w:cs="Times New Roman"/>
          <w:sz w:val="24"/>
          <w:szCs w:val="24"/>
        </w:rPr>
        <w:t>2.1. POTPORA RAZVOJU DRUŠTVENE I REKREACIJSKE INFRASTRUKTURE</w:t>
      </w:r>
    </w:p>
    <w:p w14:paraId="7721572F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3.1.2. TIP OPERACIJE</w:t>
      </w:r>
    </w:p>
    <w:p w14:paraId="325CC50E" w14:textId="77777777" w:rsidR="00C35F16" w:rsidRPr="00C35F16" w:rsidRDefault="00C35F16" w:rsidP="00C35F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5F16">
        <w:rPr>
          <w:rFonts w:ascii="Times New Roman" w:hAnsi="Times New Roman" w:cs="Times New Roman"/>
          <w:sz w:val="24"/>
          <w:szCs w:val="24"/>
        </w:rPr>
        <w:t>2.1.1. RAZVOJ OPĆE DRUŠTVENE INFRASTRUKTURE U SVRHU PODIZANJA KVALITETE ŽIVOTA STANOVNIKA LAG-a</w:t>
      </w:r>
    </w:p>
    <w:p w14:paraId="778CC471" w14:textId="77777777" w:rsidR="00722F5F" w:rsidRPr="008A64B2" w:rsidRDefault="00722F5F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590B80" w14:textId="419E7E98" w:rsidR="00392C89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MJESTO PROVEDBE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2"/>
      </w:tblGrid>
      <w:tr w:rsidR="00ED2B93" w14:paraId="5A0DD05E" w14:textId="77777777" w:rsidTr="008D4EA5">
        <w:trPr>
          <w:trHeight w:val="380"/>
        </w:trPr>
        <w:tc>
          <w:tcPr>
            <w:tcW w:w="9628" w:type="dxa"/>
            <w:vAlign w:val="bottom"/>
          </w:tcPr>
          <w:p w14:paraId="62365954" w14:textId="31BE7E70" w:rsidR="00ED2B93" w:rsidRDefault="0003783C" w:rsidP="008D4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 Ivanić – Grad, naselje Dubrovčak Lijevi</w:t>
            </w:r>
          </w:p>
        </w:tc>
      </w:tr>
    </w:tbl>
    <w:p w14:paraId="5F35B63B" w14:textId="77777777" w:rsidR="00ED2B93" w:rsidRDefault="00ED2B93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1B0F6E" w14:textId="2D743C30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.1. ŽUPANIJA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2"/>
      </w:tblGrid>
      <w:tr w:rsidR="00ED2B93" w14:paraId="60B694D6" w14:textId="77777777" w:rsidTr="008D4EA5">
        <w:trPr>
          <w:trHeight w:val="380"/>
        </w:trPr>
        <w:tc>
          <w:tcPr>
            <w:tcW w:w="9628" w:type="dxa"/>
            <w:vAlign w:val="bottom"/>
          </w:tcPr>
          <w:p w14:paraId="2A9CE980" w14:textId="31D14715" w:rsidR="00ED2B93" w:rsidRDefault="0003783C" w:rsidP="008D4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Zagrebačka županija</w:t>
            </w:r>
          </w:p>
        </w:tc>
      </w:tr>
    </w:tbl>
    <w:p w14:paraId="1C22BA11" w14:textId="77777777" w:rsidR="00ED2B93" w:rsidRDefault="00ED2B93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191740" w14:textId="2D6523FF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.2. GRAD/OPĆINA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2"/>
      </w:tblGrid>
      <w:tr w:rsidR="00ED2B93" w14:paraId="61E45CD6" w14:textId="77777777" w:rsidTr="008D4EA5">
        <w:trPr>
          <w:trHeight w:val="380"/>
        </w:trPr>
        <w:tc>
          <w:tcPr>
            <w:tcW w:w="9628" w:type="dxa"/>
            <w:vAlign w:val="bottom"/>
          </w:tcPr>
          <w:p w14:paraId="3532333C" w14:textId="37DAA232" w:rsidR="00ED2B93" w:rsidRDefault="0003783C" w:rsidP="008D4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 Ivanić - Grad</w:t>
            </w:r>
          </w:p>
        </w:tc>
      </w:tr>
    </w:tbl>
    <w:p w14:paraId="749D9816" w14:textId="7B48DC23" w:rsidR="00392C89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E079C8" w14:textId="77777777"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.3. NASELJE/NASELJA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2"/>
      </w:tblGrid>
      <w:tr w:rsidR="00ED2B93" w14:paraId="3CA4F5EB" w14:textId="77777777" w:rsidTr="008D4EA5">
        <w:trPr>
          <w:trHeight w:val="380"/>
        </w:trPr>
        <w:tc>
          <w:tcPr>
            <w:tcW w:w="9628" w:type="dxa"/>
            <w:vAlign w:val="bottom"/>
          </w:tcPr>
          <w:p w14:paraId="7EC3E7EA" w14:textId="57E3EF22" w:rsidR="00ED2B93" w:rsidRDefault="0003783C" w:rsidP="008D4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Dubrovčak Lijevi</w:t>
            </w:r>
          </w:p>
        </w:tc>
      </w:tr>
    </w:tbl>
    <w:p w14:paraId="3D54BAB8" w14:textId="2C2E7184" w:rsidR="00D64740" w:rsidRDefault="00D64740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C595FF" w14:textId="77777777" w:rsidR="00ED2B93" w:rsidRPr="008A64B2" w:rsidRDefault="00ED2B93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8BE7AD" w14:textId="77777777" w:rsidR="005147C7" w:rsidRPr="008A64B2" w:rsidRDefault="00392C89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CILJ</w:t>
      </w:r>
      <w:r w:rsidR="00F61D03" w:rsidRPr="008A64B2">
        <w:rPr>
          <w:rFonts w:ascii="Times New Roman" w:hAnsi="Times New Roman" w:cs="Times New Roman"/>
          <w:sz w:val="24"/>
          <w:szCs w:val="24"/>
        </w:rPr>
        <w:t>EVI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PROJEKTA</w:t>
      </w:r>
    </w:p>
    <w:p w14:paraId="7043D8F2" w14:textId="0D11A7B2" w:rsidR="00FF432C" w:rsidRDefault="003E2DA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F61D03" w:rsidRPr="008A64B2">
        <w:rPr>
          <w:rFonts w:ascii="Times New Roman" w:hAnsi="Times New Roman" w:cs="Times New Roman"/>
          <w:i/>
          <w:sz w:val="24"/>
          <w:szCs w:val="24"/>
        </w:rPr>
        <w:t>navesti ciljeve koji će se ostvariti provedbom projekta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4E6CB0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02"/>
      </w:tblGrid>
      <w:tr w:rsidR="00ED2B93" w14:paraId="1493BC16" w14:textId="77777777" w:rsidTr="00162471">
        <w:trPr>
          <w:trHeight w:val="1449"/>
        </w:trPr>
        <w:tc>
          <w:tcPr>
            <w:tcW w:w="9628" w:type="dxa"/>
          </w:tcPr>
          <w:p w14:paraId="351A50E4" w14:textId="4B704AA3" w:rsidR="00AB0CBB" w:rsidRDefault="009C53C3" w:rsidP="009C53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53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Naselje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Dubrovčak Lijevi </w:t>
            </w:r>
            <w:r w:rsidRPr="009C53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nalazi se u sastavu grada </w:t>
            </w:r>
            <w:hyperlink r:id="rId8" w:tooltip="Ivanić-Grad" w:history="1">
              <w:r w:rsidRPr="009C53C3">
                <w:rPr>
                  <w:rStyle w:val="Hiperveza"/>
                  <w:rFonts w:ascii="Times New Roman" w:hAnsi="Times New Roman" w:cs="Times New Roman"/>
                  <w:i/>
                  <w:sz w:val="24"/>
                  <w:szCs w:val="24"/>
                </w:rPr>
                <w:t>Ivanić-Grada</w:t>
              </w:r>
            </w:hyperlink>
            <w:r w:rsidRPr="009C53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u </w:t>
            </w:r>
            <w:hyperlink r:id="rId9" w:tooltip="Zagrebačka županija" w:history="1">
              <w:r w:rsidRPr="009C53C3">
                <w:rPr>
                  <w:rStyle w:val="Hiperveza"/>
                  <w:rFonts w:ascii="Times New Roman" w:hAnsi="Times New Roman" w:cs="Times New Roman"/>
                  <w:i/>
                  <w:sz w:val="24"/>
                  <w:szCs w:val="24"/>
                </w:rPr>
                <w:t xml:space="preserve">Zagrebačkoj </w:t>
              </w:r>
              <w:proofErr w:type="spellStart"/>
              <w:r w:rsidRPr="009C53C3">
                <w:rPr>
                  <w:rStyle w:val="Hiperveza"/>
                  <w:rFonts w:ascii="Times New Roman" w:hAnsi="Times New Roman" w:cs="Times New Roman"/>
                  <w:i/>
                  <w:sz w:val="24"/>
                  <w:szCs w:val="24"/>
                </w:rPr>
                <w:t>županij</w:t>
              </w:r>
              <w:proofErr w:type="spellEnd"/>
            </w:hyperlink>
            <w:r w:rsidRPr="009C53C3">
              <w:rPr>
                <w:rFonts w:ascii="Times New Roman" w:hAnsi="Times New Roman" w:cs="Times New Roman"/>
                <w:i/>
                <w:sz w:val="24"/>
                <w:szCs w:val="24"/>
              </w:rPr>
              <w:t>. predmet ovog projekta</w:t>
            </w:r>
            <w:r w:rsidR="00AE35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B5B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je </w:t>
            </w:r>
            <w:r w:rsidR="00AE3572">
              <w:rPr>
                <w:rFonts w:ascii="Times New Roman" w:hAnsi="Times New Roman" w:cs="Times New Roman"/>
                <w:i/>
                <w:sz w:val="24"/>
                <w:szCs w:val="24"/>
              </w:rPr>
              <w:t>izgradnja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sportsk</w:t>
            </w:r>
            <w:r w:rsidR="003B5B51">
              <w:rPr>
                <w:rFonts w:ascii="Times New Roman" w:hAnsi="Times New Roman" w:cs="Times New Roman"/>
                <w:i/>
                <w:sz w:val="24"/>
                <w:szCs w:val="24"/>
              </w:rPr>
              <w:t>og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E3572">
              <w:rPr>
                <w:rFonts w:ascii="Times New Roman" w:hAnsi="Times New Roman" w:cs="Times New Roman"/>
                <w:i/>
                <w:sz w:val="24"/>
                <w:szCs w:val="24"/>
              </w:rPr>
              <w:t>igrališta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 naselju Dubrovčak Lijevi k.č.br. 381/1; k.o. Dubrovčak Lijevi</w:t>
            </w:r>
            <w:r w:rsidRPr="009C53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B0CBB">
              <w:rPr>
                <w:rFonts w:ascii="Times New Roman" w:hAnsi="Times New Roman" w:cs="Times New Roman"/>
                <w:i/>
                <w:sz w:val="24"/>
                <w:szCs w:val="24"/>
              </w:rPr>
              <w:t>ko</w:t>
            </w:r>
            <w:r w:rsidR="00AE3572">
              <w:rPr>
                <w:rFonts w:ascii="Times New Roman" w:hAnsi="Times New Roman" w:cs="Times New Roman"/>
                <w:i/>
                <w:sz w:val="24"/>
                <w:szCs w:val="24"/>
              </w:rPr>
              <w:t>je</w:t>
            </w:r>
            <w:r w:rsidR="00AB0C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će se koristiti kao sportski teren za mali nogomet, košarku, rukomet. Navedeno ulaganje u </w:t>
            </w:r>
            <w:proofErr w:type="spellStart"/>
            <w:r w:rsidR="00AB0CBB">
              <w:rPr>
                <w:rFonts w:ascii="Times New Roman" w:hAnsi="Times New Roman" w:cs="Times New Roman"/>
                <w:i/>
                <w:sz w:val="24"/>
                <w:szCs w:val="24"/>
              </w:rPr>
              <w:t>sports</w:t>
            </w:r>
            <w:r w:rsidR="00801891">
              <w:rPr>
                <w:rFonts w:ascii="Times New Roman" w:hAnsi="Times New Roman" w:cs="Times New Roman"/>
                <w:i/>
                <w:sz w:val="24"/>
                <w:szCs w:val="24"/>
              </w:rPr>
              <w:t>o</w:t>
            </w:r>
            <w:proofErr w:type="spellEnd"/>
            <w:r w:rsidR="00AB0C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018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igralište </w:t>
            </w:r>
            <w:r w:rsidR="00AB0CBB">
              <w:rPr>
                <w:rFonts w:ascii="Times New Roman" w:hAnsi="Times New Roman" w:cs="Times New Roman"/>
                <w:i/>
                <w:sz w:val="24"/>
                <w:szCs w:val="24"/>
              </w:rPr>
              <w:t>koristit će prvenstveno mlađi stanovnici naselja Dubrovčak Lijevi, djeca predškolske i školske dobi, ali i ostali stanovnici naselja te područja Grada Ivanić – Grada. Projekat ima javnu društvenu namjenu i koristiti će se u javne svrhe rekreacije i bavljenja sportom bez naplate korištenja.</w:t>
            </w:r>
          </w:p>
          <w:p w14:paraId="3642F482" w14:textId="423E704E" w:rsidR="009C53C3" w:rsidRDefault="00AB0CBB" w:rsidP="009C53C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Projekt </w:t>
            </w:r>
            <w:r w:rsidR="009C53C3">
              <w:rPr>
                <w:rFonts w:ascii="Times New Roman" w:hAnsi="Times New Roman" w:cs="Times New Roman"/>
                <w:i/>
                <w:sz w:val="24"/>
                <w:szCs w:val="24"/>
              </w:rPr>
              <w:t>obuhvaća sljedeće ciljeve:</w:t>
            </w:r>
          </w:p>
          <w:p w14:paraId="554D47ED" w14:textId="4B272BF8" w:rsidR="009C53C3" w:rsidRDefault="009C53C3" w:rsidP="009C53C3">
            <w:pPr>
              <w:pStyle w:val="Odlomakpopis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Uređenj</w:t>
            </w:r>
            <w:r w:rsidR="003B5B51">
              <w:rPr>
                <w:rFonts w:ascii="Times New Roman" w:hAnsi="Times New Roman" w:cs="Times New Roman"/>
                <w:i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površine</w:t>
            </w:r>
            <w:r w:rsidR="005A3D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B5B51">
              <w:rPr>
                <w:rFonts w:ascii="Times New Roman" w:hAnsi="Times New Roman" w:cs="Times New Roman"/>
                <w:i/>
                <w:sz w:val="24"/>
                <w:szCs w:val="24"/>
              </w:rPr>
              <w:t>sportskog igrališta nanošenjem asfalta i sportske podloge igrališta</w:t>
            </w:r>
          </w:p>
          <w:p w14:paraId="5DE14C54" w14:textId="251E3310" w:rsidR="003B5B51" w:rsidRDefault="003B5B51" w:rsidP="009C53C3">
            <w:pPr>
              <w:pStyle w:val="Odlomakpopis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Izrada ograde oko sportskog igrališta</w:t>
            </w:r>
          </w:p>
          <w:p w14:paraId="1299A6CF" w14:textId="6382AD3A" w:rsidR="003B5B51" w:rsidRPr="009C53C3" w:rsidRDefault="00124425" w:rsidP="009C53C3">
            <w:pPr>
              <w:pStyle w:val="Odlomakpopis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Opremanje sportskog igrališta </w:t>
            </w:r>
          </w:p>
          <w:p w14:paraId="6C59A0BC" w14:textId="7E29CD71" w:rsidR="00ED2B93" w:rsidRPr="00E64C48" w:rsidRDefault="00124425" w:rsidP="00F80973">
            <w:pPr>
              <w:pStyle w:val="Odlomakpopis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4C4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Povećanje kvalitete života u ruralnim </w:t>
            </w:r>
            <w:r w:rsidR="00E64C48">
              <w:rPr>
                <w:rFonts w:ascii="Times New Roman" w:hAnsi="Times New Roman" w:cs="Times New Roman"/>
                <w:i/>
                <w:sz w:val="24"/>
                <w:szCs w:val="24"/>
              </w:rPr>
              <w:t>sredinama</w:t>
            </w:r>
            <w:r w:rsidRPr="00E64C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kroz </w:t>
            </w:r>
            <w:r w:rsidR="00F254F3">
              <w:rPr>
                <w:rFonts w:ascii="Times New Roman" w:hAnsi="Times New Roman" w:cs="Times New Roman"/>
                <w:i/>
                <w:sz w:val="24"/>
                <w:szCs w:val="24"/>
              </w:rPr>
              <w:t>izgradnju</w:t>
            </w:r>
            <w:r w:rsidRPr="00E64C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64C48" w:rsidRPr="00E64C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sportske i rekreacijske </w:t>
            </w:r>
            <w:r w:rsidR="00E64C48">
              <w:rPr>
                <w:rFonts w:ascii="Times New Roman" w:hAnsi="Times New Roman" w:cs="Times New Roman"/>
                <w:i/>
                <w:sz w:val="24"/>
                <w:szCs w:val="24"/>
              </w:rPr>
              <w:t>infrastrukture</w:t>
            </w:r>
          </w:p>
          <w:p w14:paraId="539BA19C" w14:textId="70A79EBF" w:rsidR="00C3008C" w:rsidRDefault="00C3008C" w:rsidP="009373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D3A3455" w14:textId="77777777" w:rsidR="005147C7" w:rsidRPr="008A64B2" w:rsidRDefault="00F61D03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OČEKIVANI REZULTATI PROJEKTA</w:t>
      </w:r>
    </w:p>
    <w:p w14:paraId="2CF65F85" w14:textId="77777777" w:rsidR="00CA7F9F" w:rsidRPr="008A64B2" w:rsidRDefault="00CA7F9F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3.4.1. Očekivani rezultati i mjerljivi indikatori</w:t>
      </w:r>
    </w:p>
    <w:p w14:paraId="02BB4577" w14:textId="77777777" w:rsidR="00F61D03" w:rsidRPr="008A64B2" w:rsidRDefault="00F61D03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očekivane rezultate u odnosu na početno stanje i mjerljive indikator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B24" w:rsidRPr="008A64B2">
        <w:rPr>
          <w:rFonts w:ascii="Times New Roman" w:hAnsi="Times New Roman" w:cs="Times New Roman"/>
          <w:i/>
          <w:sz w:val="24"/>
          <w:szCs w:val="24"/>
        </w:rPr>
        <w:t xml:space="preserve">očekivanih rezultata </w:t>
      </w:r>
      <w:r w:rsidRPr="008A64B2">
        <w:rPr>
          <w:rFonts w:ascii="Times New Roman" w:hAnsi="Times New Roman" w:cs="Times New Roman"/>
          <w:i/>
          <w:sz w:val="24"/>
          <w:szCs w:val="24"/>
        </w:rPr>
        <w:t>za svaki od postavljenih ciljeva</w:t>
      </w:r>
      <w:r w:rsidR="00932C5B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02"/>
      </w:tblGrid>
      <w:tr w:rsidR="00ED2B93" w14:paraId="77465E5E" w14:textId="77777777" w:rsidTr="00B34204">
        <w:trPr>
          <w:trHeight w:val="3876"/>
        </w:trPr>
        <w:tc>
          <w:tcPr>
            <w:tcW w:w="9628" w:type="dxa"/>
          </w:tcPr>
          <w:p w14:paraId="20574702" w14:textId="5C74BF8A" w:rsidR="00ED2B93" w:rsidRDefault="00ED2B93" w:rsidP="008A6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7F8F6" w14:textId="7567465B" w:rsidR="00ED2B93" w:rsidRDefault="00153DD0" w:rsidP="008A6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Očekivani rezultati projekta:</w:t>
            </w:r>
          </w:p>
          <w:p w14:paraId="1602FF0E" w14:textId="0BFF8871" w:rsidR="000D585D" w:rsidRDefault="000D585D" w:rsidP="008A6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220E0C" w14:textId="019DD206" w:rsidR="000D585D" w:rsidRDefault="000D585D" w:rsidP="008A6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Projektom će se u potpunosti izgraditi sportsko igralište za rekreaciju i bavljenje sportskim aktivnostima igranja malog nogometa, košarke i rukometa za potrebe prvenstveno lokalnog stanovništva, ali i ostalih stanovnika Grada Ivanić – Grada</w:t>
            </w:r>
            <w:r w:rsidR="00F614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javne svrhe</w:t>
            </w:r>
          </w:p>
          <w:p w14:paraId="71E34EB4" w14:textId="484B1B16" w:rsidR="00153DD0" w:rsidRDefault="00153DD0" w:rsidP="00153DD0">
            <w:pPr>
              <w:pStyle w:val="Odlomakpopis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Uređena površina sportskog igrališta asfaltiranjem i instalacijom sportske podloge igrališta; Početna vrijednost 0 m2 ; Ciljana vrijednost </w:t>
            </w:r>
            <w:r w:rsidR="00FB123A">
              <w:rPr>
                <w:rFonts w:ascii="Times New Roman" w:hAnsi="Times New Roman" w:cs="Times New Roman"/>
                <w:sz w:val="24"/>
                <w:szCs w:val="24"/>
              </w:rPr>
              <w:t>980 m2</w:t>
            </w:r>
          </w:p>
          <w:p w14:paraId="045AF210" w14:textId="71DB3CEF" w:rsidR="00FB123A" w:rsidRDefault="00FB123A" w:rsidP="00153DD0">
            <w:pPr>
              <w:pStyle w:val="Odlomakpopis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Izrađena ograda igrališta: Početna vrijednost 0 m2; Ciljana vrijednost 220 m2 </w:t>
            </w:r>
          </w:p>
          <w:p w14:paraId="283E2B7F" w14:textId="3737F37A" w:rsidR="00ED2B93" w:rsidRDefault="00FB123A" w:rsidP="00C87665">
            <w:pPr>
              <w:pStyle w:val="Odlomakpopis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204">
              <w:rPr>
                <w:rFonts w:ascii="Times New Roman" w:hAnsi="Times New Roman" w:cs="Times New Roman"/>
                <w:sz w:val="24"/>
                <w:szCs w:val="24"/>
              </w:rPr>
              <w:t xml:space="preserve">Opremljeno sportsko igralište sportskim spravama( rukometni gol, </w:t>
            </w:r>
            <w:r w:rsidR="00277DDB" w:rsidRPr="00B34204">
              <w:rPr>
                <w:rFonts w:ascii="Times New Roman" w:hAnsi="Times New Roman" w:cs="Times New Roman"/>
                <w:sz w:val="24"/>
                <w:szCs w:val="24"/>
              </w:rPr>
              <w:t>koš za košarku)</w:t>
            </w:r>
            <w:r w:rsidRPr="00B34204">
              <w:rPr>
                <w:rFonts w:ascii="Times New Roman" w:hAnsi="Times New Roman" w:cs="Times New Roman"/>
                <w:sz w:val="24"/>
                <w:szCs w:val="24"/>
              </w:rPr>
              <w:t>; Početna vrijednost 0 kompleta; Ciljana vrijednost 4 kompleta</w:t>
            </w:r>
          </w:p>
          <w:p w14:paraId="788467BC" w14:textId="12A535DA" w:rsidR="00B53D16" w:rsidRPr="00B34204" w:rsidRDefault="00B53D16" w:rsidP="00C87665">
            <w:pPr>
              <w:pStyle w:val="Odlomakpopis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Povećati će se kvaliteta života </w:t>
            </w:r>
            <w:r w:rsidR="00F254F3">
              <w:rPr>
                <w:rFonts w:ascii="Times New Roman" w:hAnsi="Times New Roman" w:cs="Times New Roman"/>
                <w:sz w:val="24"/>
                <w:szCs w:val="24"/>
              </w:rPr>
              <w:t>stanovnika naselja Dubrovčak lijevi izgradnjom sportske i rekreacijske infrastrukture: Početna vrijednost 0; Ciljana vrijednost 1</w:t>
            </w:r>
          </w:p>
          <w:p w14:paraId="22822EB3" w14:textId="51F92E7B" w:rsidR="00ED2B93" w:rsidRDefault="00ED2B93" w:rsidP="008A6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941E09" w14:textId="6D2D0F97" w:rsidR="00171A1C" w:rsidRDefault="00171A1C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5AFCE8" w14:textId="77777777" w:rsidR="00ED2B93" w:rsidRPr="008A64B2" w:rsidRDefault="00ED2B93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512493" w14:textId="77777777" w:rsidR="00001FE1" w:rsidRPr="008A64B2" w:rsidRDefault="002320C5" w:rsidP="008A64B2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3.4.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. Stvaranje novih radnih mjesta</w:t>
      </w:r>
    </w:p>
    <w:p w14:paraId="1DF4E50F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7043921" w14:textId="75479015" w:rsidR="00001FE1" w:rsidRPr="008A64B2" w:rsidRDefault="007C0D28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3FFE38" wp14:editId="665BFFD3">
                <wp:simplePos x="0" y="0"/>
                <wp:positionH relativeFrom="column">
                  <wp:posOffset>4046855</wp:posOffset>
                </wp:positionH>
                <wp:positionV relativeFrom="paragraph">
                  <wp:posOffset>9525</wp:posOffset>
                </wp:positionV>
                <wp:extent cx="281940" cy="243840"/>
                <wp:effectExtent l="0" t="0" r="22860" b="22860"/>
                <wp:wrapNone/>
                <wp:docPr id="2" name="Elip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" cy="2438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4F076F" w14:textId="77777777" w:rsidR="007C0D28" w:rsidRPr="007C0D28" w:rsidRDefault="007C0D28" w:rsidP="007C0D28">
                            <w:pPr>
                              <w:jc w:val="center"/>
                            </w:pPr>
                            <w:r w:rsidRPr="007C0D28">
                              <w:t>Naselje ima 816</w:t>
                            </w:r>
                            <w:r w:rsidRPr="007C0D28">
                              <w:rPr>
                                <w:vertAlign w:val="superscript"/>
                              </w:rPr>
                              <w:footnoteRef/>
                            </w:r>
                            <w:r w:rsidRPr="007C0D28">
                              <w:t xml:space="preserve"> stanovnika, a nalazi se u sastavu grada </w:t>
                            </w:r>
                            <w:hyperlink r:id="rId10" w:tooltip="Ivanić-Grad" w:history="1">
                              <w:r w:rsidRPr="007C0D28">
                                <w:rPr>
                                  <w:rStyle w:val="Hiperveza"/>
                                </w:rPr>
                                <w:t>Ivanić-Grada</w:t>
                              </w:r>
                            </w:hyperlink>
                            <w:r w:rsidRPr="007C0D28">
                              <w:t xml:space="preserve">, u </w:t>
                            </w:r>
                            <w:hyperlink r:id="rId11" w:tooltip="Zagrebačka županija" w:history="1">
                              <w:r w:rsidRPr="007C0D28">
                                <w:rPr>
                                  <w:rStyle w:val="Hiperveza"/>
                                </w:rPr>
                                <w:t xml:space="preserve">Zagrebačkoj </w:t>
                              </w:r>
                              <w:proofErr w:type="spellStart"/>
                              <w:r w:rsidRPr="007C0D28">
                                <w:rPr>
                                  <w:rStyle w:val="Hiperveza"/>
                                </w:rPr>
                                <w:t>županij</w:t>
                              </w:r>
                              <w:proofErr w:type="spellEnd"/>
                            </w:hyperlink>
                            <w:r w:rsidRPr="007C0D28">
                              <w:t xml:space="preserve">. predmet ovog projekta je izgradnja otvorene tržnice u naselju Posavski </w:t>
                            </w:r>
                            <w:proofErr w:type="spellStart"/>
                            <w:r w:rsidRPr="007C0D28">
                              <w:t>Bregi</w:t>
                            </w:r>
                            <w:proofErr w:type="spellEnd"/>
                            <w:r w:rsidRPr="007C0D28">
                              <w:t xml:space="preserve"> u Ivanić – Gradu koja obuhvaća uređenje </w:t>
                            </w:r>
                            <w:proofErr w:type="spellStart"/>
                            <w:r w:rsidRPr="007C0D28">
                              <w:t>parterne</w:t>
                            </w:r>
                            <w:proofErr w:type="spellEnd"/>
                            <w:r w:rsidRPr="007C0D28">
                              <w:t xml:space="preserve"> plohe, kolnog i pješačkog pristupa tržnici, parkinga za posjetitelje, korisnike i zaposlenike tržnice, zelene površine te montažu modularnih objekata za potrebe sanitarija za posjetitelje, korisnike i zaposlenike tržnice zatim uređenje spremišta kvarljivih namirnica, spremišta mobilne opreme te prateću urbanu opremu kao što su klupe, rasvjeta, koševi za smeće, kontejneri.</w:t>
                            </w:r>
                          </w:p>
                          <w:p w14:paraId="5EDD0477" w14:textId="77777777" w:rsidR="007C0D28" w:rsidRPr="007C0D28" w:rsidRDefault="007C0D28" w:rsidP="007C0D28">
                            <w:pPr>
                              <w:jc w:val="center"/>
                            </w:pPr>
                            <w:r w:rsidRPr="007C0D28">
                              <w:t>Svrha provedbe projekta je poboljšati uvjete za prodaju poljoprivrednih proizvoda lokalnim poljoprivrednim proizvođačima te na taj način potaknuti razvoj i povećanje proizvodnje poljoprivrednih proizvoda, prvenstveno u sektoru voćarstva i povrtlarstva te povećati kvalitetu života i doprinijeti ravnomjernijem regionalnom razvoju i ostanku stanovništva u ruralnim sredinama.</w:t>
                            </w:r>
                          </w:p>
                          <w:p w14:paraId="6AAC838C" w14:textId="77777777" w:rsidR="007C0D28" w:rsidRDefault="007C0D28" w:rsidP="007C0D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3FFE38" id="Elipsa 2" o:spid="_x0000_s1026" style="position:absolute;left:0;text-align:left;margin-left:318.65pt;margin-top:.75pt;width:22.2pt;height:1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" filled="f" strokecolor="#243f60 [1604]" strokeweight="2pt">
                <v:textbox>
                  <w:txbxContent>
                    <w:p w14:paraId="5C4F076F" w14:textId="77777777" w:rsidR="007C0D28" w:rsidRPr="007C0D28" w:rsidRDefault="007C0D28" w:rsidP="007C0D28">
                      <w:pPr>
                        <w:jc w:val="center"/>
                      </w:pPr>
                      <w:r w:rsidRPr="007C0D28">
                        <w:t>Naselje ima 816</w:t>
                      </w:r>
                      <w:r w:rsidRPr="007C0D28">
                        <w:rPr>
                          <w:vertAlign w:val="superscript"/>
                        </w:rPr>
                        <w:footnoteRef/>
                      </w:r>
                      <w:r w:rsidRPr="007C0D28">
                        <w:t xml:space="preserve"> stanovnika, a nalazi se u sastavu grada </w:t>
                      </w:r>
                      <w:hyperlink r:id="rId12" w:tooltip="Ivanić-Grad" w:history="1">
                        <w:r w:rsidRPr="007C0D28">
                          <w:rPr>
                            <w:rStyle w:val="Hiperveza"/>
                          </w:rPr>
                          <w:t>Ivanić-Grada</w:t>
                        </w:r>
                      </w:hyperlink>
                      <w:r w:rsidRPr="007C0D28">
                        <w:t xml:space="preserve">, u </w:t>
                      </w:r>
                      <w:hyperlink r:id="rId13" w:tooltip="Zagrebačka županija" w:history="1">
                        <w:r w:rsidRPr="007C0D28">
                          <w:rPr>
                            <w:rStyle w:val="Hiperveza"/>
                          </w:rPr>
                          <w:t xml:space="preserve">Zagrebačkoj </w:t>
                        </w:r>
                        <w:proofErr w:type="spellStart"/>
                        <w:r w:rsidRPr="007C0D28">
                          <w:rPr>
                            <w:rStyle w:val="Hiperveza"/>
                          </w:rPr>
                          <w:t>županij</w:t>
                        </w:r>
                        <w:proofErr w:type="spellEnd"/>
                      </w:hyperlink>
                      <w:r w:rsidRPr="007C0D28">
                        <w:t xml:space="preserve">. predmet ovog projekta je izgradnja otvorene tržnice u naselju Posavski </w:t>
                      </w:r>
                      <w:proofErr w:type="spellStart"/>
                      <w:r w:rsidRPr="007C0D28">
                        <w:t>Bregi</w:t>
                      </w:r>
                      <w:proofErr w:type="spellEnd"/>
                      <w:r w:rsidRPr="007C0D28">
                        <w:t xml:space="preserve"> u Ivanić – Gradu koja obuhvaća uređenje </w:t>
                      </w:r>
                      <w:proofErr w:type="spellStart"/>
                      <w:r w:rsidRPr="007C0D28">
                        <w:t>parterne</w:t>
                      </w:r>
                      <w:proofErr w:type="spellEnd"/>
                      <w:r w:rsidRPr="007C0D28">
                        <w:t xml:space="preserve"> plohe, kolnog i pješačkog pristupa tržnici, parkinga za posjetitelje, korisnike i zaposlenike tržnice, zelene površine te montažu modularnih objekata za potrebe sanitarija za posjetitelje, korisnike i zaposlenike tržnice zatim uređenje spremišta kvarljivih namirnica, spremišta mobilne opreme te prateću urbanu opremu kao što su klupe, rasvjeta, koševi za smeće, kontejneri.</w:t>
                      </w:r>
                    </w:p>
                    <w:p w14:paraId="5EDD0477" w14:textId="77777777" w:rsidR="007C0D28" w:rsidRPr="007C0D28" w:rsidRDefault="007C0D28" w:rsidP="007C0D28">
                      <w:pPr>
                        <w:jc w:val="center"/>
                      </w:pPr>
                      <w:r w:rsidRPr="007C0D28">
                        <w:t>Svrha provedbe projekta je poboljšati uvjete za prodaju poljoprivrednih proizvoda lokalnim poljoprivrednim proizvođačima te na taj način potaknuti razvoj i povećanje proizvodnje poljoprivrednih proizvoda, prvenstveno u sektoru voćarstva i povrtlarstva te povećati kvalitetu života i doprinijeti ravnomjernijem regionalnom razvoju i ostanku stanovništva u ruralnim sredinama.</w:t>
                      </w:r>
                    </w:p>
                    <w:p w14:paraId="6AAC838C" w14:textId="77777777" w:rsidR="007C0D28" w:rsidRDefault="007C0D28" w:rsidP="007C0D28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 xml:space="preserve">Pridonosi li projekt stvaranju novih radnih mjesta?                 </w:t>
      </w:r>
      <w:r w:rsidR="00001FE1" w:rsidRPr="00ED2B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DA </w:t>
      </w:r>
      <w:r w:rsidR="00001FE1"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/ NE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10882B" w14:textId="1E365A81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="00ED2B93">
        <w:rPr>
          <w:rFonts w:ascii="Times New Roman" w:eastAsia="Calibri" w:hAnsi="Times New Roman" w:cs="Times New Roman"/>
          <w:i/>
          <w:iCs/>
          <w:sz w:val="24"/>
          <w:szCs w:val="24"/>
        </w:rPr>
        <w:t>Podcrtati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odgovor koji je primjenjiv za projekt)</w:t>
      </w:r>
    </w:p>
    <w:p w14:paraId="0D44CA04" w14:textId="6AD67562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306C09D" w14:textId="61616D07" w:rsidR="00001FE1" w:rsidRPr="008A64B2" w:rsidRDefault="002320C5" w:rsidP="008A64B2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Ako je odgovor 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DA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518139C" w14:textId="1BE54B19" w:rsidR="00001FE1" w:rsidRPr="008A64B2" w:rsidRDefault="00001FE1" w:rsidP="008A64B2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na koji način projekt doprinos</w:t>
      </w:r>
      <w:r w:rsidR="004B5FB5">
        <w:rPr>
          <w:rFonts w:ascii="Times New Roman" w:eastAsia="Calibri" w:hAnsi="Times New Roman" w:cs="Times New Roman"/>
          <w:sz w:val="24"/>
          <w:szCs w:val="24"/>
        </w:rPr>
        <w:t>i stvaranju novih radnih mjesta</w:t>
      </w:r>
    </w:p>
    <w:p w14:paraId="17B539F1" w14:textId="77777777" w:rsidR="00001FE1" w:rsidRPr="008A64B2" w:rsidRDefault="00001FE1" w:rsidP="008A64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02"/>
      </w:tblGrid>
      <w:tr w:rsidR="00ED2B93" w14:paraId="1333E2F9" w14:textId="77777777" w:rsidTr="007C0D28">
        <w:trPr>
          <w:trHeight w:val="2016"/>
        </w:trPr>
        <w:tc>
          <w:tcPr>
            <w:tcW w:w="9628" w:type="dxa"/>
          </w:tcPr>
          <w:p w14:paraId="2F921B73" w14:textId="7DCDF60B" w:rsidR="00ED2B93" w:rsidRDefault="00830F26">
            <w:r>
              <w:t>N/p</w:t>
            </w:r>
          </w:p>
        </w:tc>
      </w:tr>
    </w:tbl>
    <w:p w14:paraId="3F45A990" w14:textId="77777777" w:rsidR="006A742D" w:rsidRPr="008A64B2" w:rsidRDefault="006A742D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86DFE3" w14:textId="77777777" w:rsidR="00001FE1" w:rsidRPr="008A64B2" w:rsidRDefault="00001FE1" w:rsidP="00001FE1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nova radna mjesta koja se planiraju ostvariti provedbom projekta</w:t>
      </w:r>
    </w:p>
    <w:p w14:paraId="4747FADB" w14:textId="77777777" w:rsidR="00001FE1" w:rsidRPr="008A64B2" w:rsidRDefault="00001FE1" w:rsidP="008A64B2">
      <w:pPr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(Navesti u tablici vrstu radnog mjesta, planirani broj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radnih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 planirano razdoblje/godinu ostvarenja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novog radnog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tijekom provedbe projekta)</w:t>
      </w:r>
    </w:p>
    <w:p w14:paraId="2F6F72E9" w14:textId="77777777" w:rsidR="00001FE1" w:rsidRPr="008A64B2" w:rsidRDefault="00001FE1" w:rsidP="00001FE1">
      <w:pPr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619815D5" w14:textId="77777777" w:rsidR="00001FE1" w:rsidRDefault="00001FE1" w:rsidP="008A64B2">
      <w:pPr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Tablica</w:t>
      </w:r>
      <w:r w:rsidR="0072242F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8A64B2">
        <w:rPr>
          <w:rFonts w:ascii="Times New Roman" w:eastAsia="Calibri" w:hAnsi="Times New Roman" w:cs="Times New Roman"/>
          <w:sz w:val="24"/>
          <w:szCs w:val="24"/>
        </w:rPr>
        <w:t>: Radna mjesta koja se planiraju ostvariti provedbom projekta</w:t>
      </w:r>
    </w:p>
    <w:tbl>
      <w:tblPr>
        <w:tblStyle w:val="Reetkatablice"/>
        <w:tblW w:w="9204" w:type="dxa"/>
        <w:jc w:val="center"/>
        <w:tblLook w:val="04A0" w:firstRow="1" w:lastRow="0" w:firstColumn="1" w:lastColumn="0" w:noHBand="0" w:noVBand="1"/>
      </w:tblPr>
      <w:tblGrid>
        <w:gridCol w:w="696"/>
        <w:gridCol w:w="4690"/>
        <w:gridCol w:w="1415"/>
        <w:gridCol w:w="2403"/>
      </w:tblGrid>
      <w:tr w:rsidR="000C30D0" w14:paraId="023E1196" w14:textId="77777777" w:rsidTr="008A64B2">
        <w:trPr>
          <w:jc w:val="center"/>
        </w:trPr>
        <w:tc>
          <w:tcPr>
            <w:tcW w:w="664" w:type="dxa"/>
            <w:vAlign w:val="center"/>
          </w:tcPr>
          <w:p w14:paraId="228A674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R.b</w:t>
            </w:r>
            <w:r w:rsidR="0001195B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3" w:type="dxa"/>
            <w:vAlign w:val="center"/>
          </w:tcPr>
          <w:p w14:paraId="32A8823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Opis radnog mjesta (vrsta radnog mjesta)</w:t>
            </w:r>
          </w:p>
        </w:tc>
        <w:tc>
          <w:tcPr>
            <w:tcW w:w="1417" w:type="dxa"/>
            <w:vAlign w:val="center"/>
          </w:tcPr>
          <w:p w14:paraId="0597F151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Planirani broj radnih mjesta</w:t>
            </w:r>
          </w:p>
        </w:tc>
        <w:tc>
          <w:tcPr>
            <w:tcW w:w="2410" w:type="dxa"/>
            <w:vAlign w:val="center"/>
          </w:tcPr>
          <w:p w14:paraId="31115D89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Planirana godina ili planirano razdoblje stvaranja novog radnog mjesta nakon realizacije projekta</w:t>
            </w:r>
          </w:p>
        </w:tc>
      </w:tr>
      <w:tr w:rsidR="000C30D0" w14:paraId="734488FA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22355F8A" w14:textId="77777777"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749F05E0" w14:textId="77777777"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B163EE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7535730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78642884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2747D60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09EACA73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655394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D441847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05052790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3573502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3D6E04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66E428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74B7645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F191E01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31CB616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62649F0E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36D8D7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8299A81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B9A0317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11A0EFB9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66193A23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D837D0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E2245E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42D" w14:paraId="7250B93D" w14:textId="77777777" w:rsidTr="006A742D">
        <w:trPr>
          <w:trHeight w:val="482"/>
          <w:jc w:val="center"/>
        </w:trPr>
        <w:tc>
          <w:tcPr>
            <w:tcW w:w="664" w:type="dxa"/>
            <w:vAlign w:val="center"/>
          </w:tcPr>
          <w:p w14:paraId="6E755422" w14:textId="77777777"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62980D5" w14:textId="77777777"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40352F" w14:textId="77777777"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74522B1" w14:textId="77777777"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51035DC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1DDF4A4E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1A32509B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4AFB9D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A37D71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9EF22A6" w14:textId="77777777" w:rsidR="00001FE1" w:rsidRDefault="00001FE1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0610F919" w14:textId="77777777" w:rsidR="006A742D" w:rsidRPr="008A64B2" w:rsidRDefault="006A742D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5430EFCD" w14:textId="77777777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Napomena:</w:t>
      </w:r>
    </w:p>
    <w:p w14:paraId="55D085C7" w14:textId="44F4CF5E" w:rsidR="004B5FB5" w:rsidRDefault="00001FE1" w:rsidP="00BA6741">
      <w:pPr>
        <w:jc w:val="both"/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Podaci iz ove tablice uzeti će se u obzir prilikom provjere os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tvarenja kriterija odabira broj</w:t>
      </w:r>
      <w:r w:rsidR="00ED2B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3</w:t>
      </w:r>
      <w:r w:rsidR="00BA6741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ED2B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BA6741">
        <w:rPr>
          <w:rFonts w:ascii="Times New Roman" w:eastAsia="Calibri" w:hAnsi="Times New Roman" w:cs="Times New Roman"/>
          <w:i/>
          <w:iCs/>
          <w:sz w:val="24"/>
          <w:szCs w:val="24"/>
        </w:rPr>
        <w:t>„</w:t>
      </w:r>
      <w:r w:rsidR="00ED2B93" w:rsidRPr="00BA6741">
        <w:rPr>
          <w:rFonts w:ascii="Times New Roman" w:eastAsia="Calibri" w:hAnsi="Times New Roman" w:cs="Times New Roman"/>
          <w:i/>
          <w:iCs/>
          <w:sz w:val="24"/>
          <w:szCs w:val="24"/>
        </w:rPr>
        <w:t>Ulaganje doprinosi stvaranju novih radnih mjesta</w:t>
      </w:r>
      <w:r w:rsidR="00BA674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“ </w:t>
      </w:r>
      <w:r w:rsidR="009E3A74" w:rsidRPr="009E3A74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r w:rsidR="009E3A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praćenje indikatora vezanih za provedbu LEADER mjere </w:t>
      </w:r>
    </w:p>
    <w:p w14:paraId="746C5C64" w14:textId="73EDF94D" w:rsidR="00001FE1" w:rsidRPr="004B5FB5" w:rsidRDefault="004B5FB5" w:rsidP="004B5FB5">
      <w:pPr>
        <w:spacing w:after="12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B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roj novozaposlenih osoba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pokazatelj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provedbe projekta te se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u trenutk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u podnošenja p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rijave projekta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dokazuje na temelju podataka iz ove tablice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7C216F1F" w14:textId="7D747611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 zahtj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ev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LAG-a</w:t>
      </w:r>
      <w:r w:rsidR="00ED2B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„Moslavina“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/</w:t>
      </w:r>
      <w:r w:rsidR="00005752" w:rsidRPr="001D4007">
        <w:rPr>
          <w:rFonts w:ascii="Times New Roman" w:eastAsia="Calibri" w:hAnsi="Times New Roman" w:cs="Times New Roman"/>
          <w:i/>
          <w:iCs/>
          <w:sz w:val="24"/>
          <w:szCs w:val="24"/>
        </w:rPr>
        <w:t>Agencije za plaćanja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ositelj projekta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dužan dostaviti i/ili dati na uvid dokaze i/ili obrazložiti stvaranje novih radnih mjesta koja su posljedica p</w:t>
      </w:r>
      <w:r w:rsidR="006A742D"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rovedbe ulaganja.</w:t>
      </w:r>
    </w:p>
    <w:p w14:paraId="113D221A" w14:textId="3EE93F7D" w:rsidR="001D4007" w:rsidRDefault="001D4007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356FB6" w14:textId="77777777" w:rsidR="00BA6741" w:rsidRPr="008A64B2" w:rsidRDefault="00BA674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EB4DFC" w14:textId="77777777" w:rsidR="005147C7" w:rsidRPr="008A64B2" w:rsidRDefault="004E6CB0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TRAJANJE PROVEDBE PROJEKTA</w:t>
      </w:r>
    </w:p>
    <w:p w14:paraId="751B61DC" w14:textId="6D751D8C" w:rsidR="004E6CB0" w:rsidRPr="00BA6741" w:rsidRDefault="004E6CB0" w:rsidP="0093730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E168C" w:rsidRPr="008A64B2">
        <w:rPr>
          <w:rFonts w:ascii="Times New Roman" w:hAnsi="Times New Roman" w:cs="Times New Roman"/>
          <w:i/>
          <w:sz w:val="24"/>
          <w:szCs w:val="24"/>
        </w:rPr>
        <w:t xml:space="preserve">u mjesecima </w:t>
      </w:r>
      <w:r w:rsidRPr="008A64B2">
        <w:rPr>
          <w:rFonts w:ascii="Times New Roman" w:hAnsi="Times New Roman" w:cs="Times New Roman"/>
          <w:i/>
          <w:sz w:val="24"/>
          <w:szCs w:val="24"/>
        </w:rPr>
        <w:t>planirano trajanje provedbe ulaganja za koje se traži javna potpora iz</w:t>
      </w:r>
      <w:r w:rsidR="001D40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6741" w:rsidRPr="00C35F16">
        <w:rPr>
          <w:rFonts w:ascii="Times New Roman" w:hAnsi="Times New Roman" w:cs="Times New Roman"/>
          <w:iCs/>
          <w:sz w:val="24"/>
          <w:szCs w:val="24"/>
        </w:rPr>
        <w:t>TO 2.1.1. „Razvoj opće društvene infrastrukture u svrhu podizanja kvalitete života stanovnika LAG-a“ unutar Lokalne razvojne strategije LAG-a „Moslavina“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2"/>
      </w:tblGrid>
      <w:tr w:rsidR="00BA6741" w14:paraId="0EC1E134" w14:textId="77777777" w:rsidTr="008D4EA5">
        <w:trPr>
          <w:trHeight w:val="380"/>
        </w:trPr>
        <w:tc>
          <w:tcPr>
            <w:tcW w:w="9628" w:type="dxa"/>
            <w:vAlign w:val="bottom"/>
          </w:tcPr>
          <w:p w14:paraId="5654D024" w14:textId="51AE6674" w:rsidR="00BA6741" w:rsidRDefault="00BC6EC5" w:rsidP="008D4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Planirano trajanje provedbe projekta iznosi 1</w:t>
            </w:r>
            <w:r w:rsidR="009D4C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mjeseci</w:t>
            </w:r>
          </w:p>
        </w:tc>
      </w:tr>
    </w:tbl>
    <w:p w14:paraId="5291C253" w14:textId="3E0B4FAA" w:rsidR="004F23D4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FC0F96" w14:textId="5E4D0918" w:rsidR="00BA6741" w:rsidRPr="008A64B2" w:rsidRDefault="00BA674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D8C544" w14:textId="77777777" w:rsidR="006B4888" w:rsidRPr="008A64B2" w:rsidRDefault="0066427D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6</w:t>
      </w:r>
      <w:r w:rsidRPr="008A64B2">
        <w:rPr>
          <w:rFonts w:ascii="Times New Roman" w:hAnsi="Times New Roman" w:cs="Times New Roman"/>
          <w:sz w:val="24"/>
          <w:szCs w:val="24"/>
        </w:rPr>
        <w:t>. GLAVNE AKTIVNOSTI</w:t>
      </w:r>
    </w:p>
    <w:p w14:paraId="631496BF" w14:textId="77777777" w:rsidR="0066427D" w:rsidRPr="008A64B2" w:rsidRDefault="0066427D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glavne aktivnosti koje će se provoditi u svrhu provedbe projekta; najmanje 300, a najviše 800 znakova)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02"/>
      </w:tblGrid>
      <w:tr w:rsidR="00BA6741" w14:paraId="6EF17606" w14:textId="77777777" w:rsidTr="00BA6741">
        <w:trPr>
          <w:trHeight w:val="3876"/>
        </w:trPr>
        <w:tc>
          <w:tcPr>
            <w:tcW w:w="9628" w:type="dxa"/>
          </w:tcPr>
          <w:p w14:paraId="00E00B52" w14:textId="23A317F6" w:rsidR="00BA6741" w:rsidRDefault="00E224E6" w:rsidP="006B48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Glavne aktivnosti p</w:t>
            </w:r>
            <w:r w:rsidR="00A23A1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ojekta </w:t>
            </w:r>
            <w:r w:rsidR="00A23A10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Izgradnja sportskog igrališta u Dubrovčaku Lijevom</w:t>
            </w:r>
            <w:r w:rsidR="00A23A10">
              <w:rPr>
                <w:rFonts w:ascii="Times New Roman" w:hAnsi="Times New Roman" w:cs="Times New Roman"/>
                <w:sz w:val="24"/>
                <w:szCs w:val="24"/>
              </w:rPr>
              <w:t>“ su:</w:t>
            </w:r>
          </w:p>
          <w:p w14:paraId="55014A75" w14:textId="77777777" w:rsidR="00A23A10" w:rsidRDefault="00A23A10" w:rsidP="00A23A10">
            <w:pPr>
              <w:pStyle w:val="Odlomakpopis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radovi pripreme i zemljani radovi</w:t>
            </w:r>
          </w:p>
          <w:p w14:paraId="0D3605EB" w14:textId="77777777" w:rsidR="00A23A10" w:rsidRDefault="00A23A10" w:rsidP="00A23A10">
            <w:pPr>
              <w:pStyle w:val="Odlomakpopis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betonski i armirano betonski radovi</w:t>
            </w:r>
          </w:p>
          <w:p w14:paraId="0BF44913" w14:textId="77777777" w:rsidR="00A23A10" w:rsidRDefault="00A23A10" w:rsidP="00A23A10">
            <w:pPr>
              <w:pStyle w:val="Odlomakpopis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bravarski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podopolagački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radovi</w:t>
            </w:r>
          </w:p>
          <w:p w14:paraId="25C84D03" w14:textId="77777777" w:rsidR="00A23A10" w:rsidRDefault="00A23A10" w:rsidP="00A23A10">
            <w:pPr>
              <w:pStyle w:val="Odlomakpopis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opremanje igrališta sportskom opremom</w:t>
            </w:r>
          </w:p>
          <w:p w14:paraId="21BD84D3" w14:textId="77777777" w:rsidR="00A6010E" w:rsidRDefault="00A6010E" w:rsidP="00A601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326BA" w14:textId="417BD059" w:rsidR="00A6010E" w:rsidRPr="00A6010E" w:rsidRDefault="00A6010E" w:rsidP="00A601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Osim građevinskih aktivnosti i aktivnosti opremanja, projektom će se provoditi i aktivnosti vidljivosti, nabave radova i usluga, izvještavanja o intenzitetu provedbe projekta te stručni nadzor projekta.</w:t>
            </w:r>
          </w:p>
        </w:tc>
      </w:tr>
    </w:tbl>
    <w:p w14:paraId="7A6DC79A" w14:textId="77777777" w:rsidR="00280706" w:rsidRPr="008A64B2" w:rsidRDefault="00280706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F5AE0" w14:textId="77777777" w:rsidR="006B4888" w:rsidRPr="008A64B2" w:rsidRDefault="0066427D" w:rsidP="006B4888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9D227B" w:rsidRPr="008A64B2">
        <w:rPr>
          <w:rFonts w:ascii="Times New Roman" w:hAnsi="Times New Roman" w:cs="Times New Roman"/>
          <w:sz w:val="24"/>
          <w:szCs w:val="24"/>
        </w:rPr>
        <w:t>7</w:t>
      </w:r>
      <w:r w:rsidRPr="008A64B2">
        <w:rPr>
          <w:rFonts w:ascii="Times New Roman" w:hAnsi="Times New Roman" w:cs="Times New Roman"/>
          <w:sz w:val="24"/>
          <w:szCs w:val="24"/>
        </w:rPr>
        <w:t xml:space="preserve">. </w:t>
      </w:r>
      <w:r w:rsidR="008C6EC4" w:rsidRPr="008A64B2">
        <w:rPr>
          <w:rFonts w:ascii="Times New Roman" w:hAnsi="Times New Roman" w:cs="Times New Roman"/>
          <w:sz w:val="24"/>
          <w:szCs w:val="24"/>
        </w:rPr>
        <w:t>PRIPREMNE PROVEDENE AKTIVNOSTI</w:t>
      </w:r>
    </w:p>
    <w:p w14:paraId="769E2DFF" w14:textId="77777777" w:rsidR="006B4888" w:rsidRPr="008A64B2" w:rsidRDefault="006B4888" w:rsidP="006A7F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>ukratko pripremne aktivnosti koje su već provedene u svrhu realizacije projekta/operacije. Na primjer: riješeni su imovinsko-pravni odnosi, izrađen je idejni projekt/glavni projekt/elaborat zaštite okoliša, ishođena je lokacijska dozvola/građevinska dozvola/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 xml:space="preserve">kt prema propisima kojima se uređuje zaštita okoliša i 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prirode/potvrde i suglasnosti javno-pravnih tijela, ostale pripremne aktivnosti. Napomena: nije potrebno navoditi detalje spomenutih akata/dokumenata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>-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 dovoljno je navesti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općeniti </w:t>
      </w:r>
      <w:r w:rsidRPr="008A64B2">
        <w:rPr>
          <w:rFonts w:ascii="Times New Roman" w:hAnsi="Times New Roman" w:cs="Times New Roman"/>
          <w:i/>
          <w:sz w:val="24"/>
          <w:szCs w:val="24"/>
        </w:rPr>
        <w:t>naziv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 akta/dokumenta, na primjer: izrađeni su idejni i glavni projekt, ishođene su lokacijska dozvola, građevinska dozvola i potvrde javno-pravnih tijela koje su sastavni dio glavnog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Reetkatablice"/>
        <w:tblW w:w="9637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BA6741" w14:paraId="76C87B23" w14:textId="77777777" w:rsidTr="008D4EA5">
        <w:trPr>
          <w:trHeight w:val="420"/>
        </w:trPr>
        <w:tc>
          <w:tcPr>
            <w:tcW w:w="9637" w:type="dxa"/>
            <w:vAlign w:val="bottom"/>
          </w:tcPr>
          <w:p w14:paraId="7C7EDFA5" w14:textId="792BF6AC" w:rsidR="00BA6741" w:rsidRDefault="00D56EEE" w:rsidP="008D4EA5">
            <w:pP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  <w:t>U svrhu realizacije projekta provedene su sljedeće pripremne ak</w:t>
            </w:r>
            <w:r w:rsidR="005810A6"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  <w:t>tivnosti:</w:t>
            </w:r>
          </w:p>
          <w:p w14:paraId="100A50BF" w14:textId="5DBC542D" w:rsidR="005810A6" w:rsidRDefault="005810A6" w:rsidP="008D4EA5">
            <w:pP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  <w:t>Riješeni su imovinsko pravni odnosi, izrađen je glavni projekat s troškovnikom radova i opreme.</w:t>
            </w:r>
            <w:r w:rsidR="00B75F25"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  <w:t xml:space="preserve"> ishođeno je mišljenje (rješenje) sukladno propisima zaštite okoliša i prirode.</w:t>
            </w:r>
          </w:p>
        </w:tc>
      </w:tr>
      <w:tr w:rsidR="00BA6741" w14:paraId="2F285A1F" w14:textId="77777777" w:rsidTr="008D4EA5">
        <w:trPr>
          <w:trHeight w:val="420"/>
        </w:trPr>
        <w:tc>
          <w:tcPr>
            <w:tcW w:w="9637" w:type="dxa"/>
            <w:vAlign w:val="bottom"/>
          </w:tcPr>
          <w:p w14:paraId="0428E00F" w14:textId="77777777" w:rsidR="00BA6741" w:rsidRDefault="00BA6741" w:rsidP="008D4EA5">
            <w:pP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</w:pPr>
          </w:p>
        </w:tc>
      </w:tr>
    </w:tbl>
    <w:p w14:paraId="5FEA5DF2" w14:textId="77777777" w:rsidR="009E3A74" w:rsidRPr="008A64B2" w:rsidRDefault="009E3A74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D4900A" w14:textId="77777777" w:rsidR="001D12F1" w:rsidRPr="008A64B2" w:rsidRDefault="001D12F1" w:rsidP="001D12F1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3.8. UKUPNA VRIJEDNOST PROJEKTA</w:t>
      </w:r>
    </w:p>
    <w:p w14:paraId="7DA6905E" w14:textId="09AC21FC" w:rsidR="001D12F1" w:rsidRPr="008A64B2" w:rsidRDefault="001D12F1" w:rsidP="001D12F1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(navesti ukupnu vrijednost projekta sukladno projektno-tehničkoj dokumentaciji</w:t>
      </w:r>
      <w:r w:rsidR="00B94B66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/procjeni troškova,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uključujući prihvatljive i neprihvatljive troškove, opće troškove i PDV, a u skladu s tablicom 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56651C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; ne smije biti već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 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>250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.000 eura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(s PDV-om)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kunskoj protuvrijednosti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tbl>
      <w:tblPr>
        <w:tblStyle w:val="Reetkatablice"/>
        <w:tblW w:w="9637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BA6741" w14:paraId="0539B2E6" w14:textId="77777777" w:rsidTr="008D4EA5">
        <w:trPr>
          <w:trHeight w:val="420"/>
        </w:trPr>
        <w:tc>
          <w:tcPr>
            <w:tcW w:w="9637" w:type="dxa"/>
            <w:vAlign w:val="bottom"/>
          </w:tcPr>
          <w:p w14:paraId="26682AAB" w14:textId="35AC9FC3" w:rsidR="00BA6741" w:rsidRDefault="00FA1F00" w:rsidP="008D4EA5">
            <w:pP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  <w:t>ukupna vrijednost projekta iznosi 527.900,00 kn</w:t>
            </w:r>
            <w:r w:rsidR="00D11778"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  <w:t xml:space="preserve"> ( s </w:t>
            </w:r>
            <w:proofErr w:type="spellStart"/>
            <w:r w:rsidR="00D11778"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  <w:t>pdv-om</w:t>
            </w:r>
            <w:proofErr w:type="spellEnd"/>
            <w:r w:rsidR="00D11778"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  <w:t>)</w:t>
            </w:r>
          </w:p>
        </w:tc>
      </w:tr>
      <w:tr w:rsidR="00BA6741" w14:paraId="7B2FB240" w14:textId="77777777" w:rsidTr="008D4EA5">
        <w:trPr>
          <w:trHeight w:val="420"/>
        </w:trPr>
        <w:tc>
          <w:tcPr>
            <w:tcW w:w="9637" w:type="dxa"/>
            <w:vAlign w:val="bottom"/>
          </w:tcPr>
          <w:p w14:paraId="1190CDB1" w14:textId="77777777" w:rsidR="00BA6741" w:rsidRDefault="00BA6741" w:rsidP="008D4EA5">
            <w:pP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</w:pPr>
          </w:p>
        </w:tc>
      </w:tr>
    </w:tbl>
    <w:p w14:paraId="08B5FEFC" w14:textId="6FD62EDE" w:rsidR="006A742D" w:rsidRDefault="006A742D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D0F0F7" w14:textId="77777777" w:rsidR="00BA6741" w:rsidRPr="008A64B2" w:rsidRDefault="00BA6741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03CEA1" w14:textId="77777777" w:rsidR="00280542" w:rsidRPr="008A64B2" w:rsidRDefault="005C0461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1D12F1" w:rsidRPr="008A64B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color w:val="000000"/>
          <w:sz w:val="24"/>
          <w:szCs w:val="24"/>
        </w:rPr>
        <w:t>ZAPOČETE AKTIVNOSTI GRAĐENJA</w:t>
      </w:r>
    </w:p>
    <w:p w14:paraId="321AE276" w14:textId="45133E1E" w:rsidR="00C06154" w:rsidRPr="008A64B2" w:rsidRDefault="005C0461" w:rsidP="00C0615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(navesti ukupnu vrijednost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započetih aktivnosti građenja koja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smije biti veća od 10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% ukupne vrijednosti građenja vezanog uz projekt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trenutk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DA6A7F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ktivnosti vezane uz ulaganje, osim pripremnih aktivnosti, ne smiju započeti prij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e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započetih aktivnosti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potrebno je vrijednost građenja razdvojiti na prihvatljiv trošak (neizvedeni radovi) i neprihvatljiv trošak (izvedeni radovi u maksimalnom iznosu do 10% vrijednosti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), </w:t>
      </w:r>
      <w:r w:rsidR="007B655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te isto prikazati u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tablici 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9E3A74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da aktivnosti građenja n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isu započete d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o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navesti: ''Aktivnosti građenja nisu započele''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tbl>
      <w:tblPr>
        <w:tblStyle w:val="Reetkatablice"/>
        <w:tblW w:w="9637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BA6741" w14:paraId="167C142C" w14:textId="77777777" w:rsidTr="008D4EA5">
        <w:trPr>
          <w:trHeight w:val="420"/>
        </w:trPr>
        <w:tc>
          <w:tcPr>
            <w:tcW w:w="9637" w:type="dxa"/>
            <w:vAlign w:val="bottom"/>
          </w:tcPr>
          <w:p w14:paraId="70D780FB" w14:textId="31FF527E" w:rsidR="00BA6741" w:rsidRPr="00392812" w:rsidRDefault="00392812" w:rsidP="008D4EA5">
            <w:pPr>
              <w:rPr>
                <w:rFonts w:ascii="Times New Roman" w:hAnsi="Times New Roman" w:cs="Times New Roman"/>
                <w:bCs/>
                <w:iCs/>
                <w:smallCaps/>
                <w:color w:val="000000"/>
                <w:sz w:val="24"/>
                <w:szCs w:val="24"/>
              </w:rPr>
            </w:pPr>
            <w:r w:rsidRPr="00392812">
              <w:rPr>
                <w:rFonts w:ascii="Times New Roman" w:hAnsi="Times New Roman" w:cs="Times New Roman"/>
                <w:bCs/>
                <w:iCs/>
                <w:smallCaps/>
                <w:color w:val="000000"/>
                <w:sz w:val="24"/>
                <w:szCs w:val="24"/>
              </w:rPr>
              <w:t>Aktivnosti građenja nisu započele</w:t>
            </w:r>
          </w:p>
        </w:tc>
      </w:tr>
      <w:tr w:rsidR="00BA6741" w14:paraId="7F01D60D" w14:textId="77777777" w:rsidTr="008D4EA5">
        <w:trPr>
          <w:trHeight w:val="420"/>
        </w:trPr>
        <w:tc>
          <w:tcPr>
            <w:tcW w:w="9637" w:type="dxa"/>
            <w:vAlign w:val="bottom"/>
          </w:tcPr>
          <w:p w14:paraId="311EA08C" w14:textId="77777777" w:rsidR="00BA6741" w:rsidRDefault="00BA6741" w:rsidP="008D4EA5">
            <w:pPr>
              <w:rPr>
                <w:rFonts w:ascii="Times New Roman" w:hAnsi="Times New Roman" w:cs="Times New Roman"/>
                <w:bCs/>
                <w:smallCaps/>
                <w:color w:val="000000"/>
                <w:sz w:val="24"/>
                <w:szCs w:val="24"/>
              </w:rPr>
            </w:pPr>
          </w:p>
        </w:tc>
      </w:tr>
    </w:tbl>
    <w:p w14:paraId="49EC3C5E" w14:textId="77777777" w:rsidR="004962AE" w:rsidRPr="008A64B2" w:rsidRDefault="004962AE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D4BE50" w14:textId="77777777" w:rsidR="005C0461" w:rsidRPr="008A64B2" w:rsidRDefault="005C0461" w:rsidP="009373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4. DRUŠTVENA OPRAVDANOST PROJEKTA</w:t>
      </w:r>
    </w:p>
    <w:p w14:paraId="2A95C693" w14:textId="77777777" w:rsidR="005147C7" w:rsidRPr="008A64B2" w:rsidRDefault="00BD6C4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sz w:val="24"/>
          <w:szCs w:val="24"/>
        </w:rPr>
        <w:t>1</w:t>
      </w:r>
      <w:r w:rsidRPr="008A64B2">
        <w:rPr>
          <w:rFonts w:ascii="Times New Roman" w:hAnsi="Times New Roman" w:cs="Times New Roman"/>
          <w:sz w:val="24"/>
          <w:szCs w:val="24"/>
        </w:rPr>
        <w:t>. CILJANE SKUPINE I KRAJNJI KORISNICI</w:t>
      </w:r>
    </w:p>
    <w:p w14:paraId="4EEFC221" w14:textId="047D9D99" w:rsidR="00BD6C4C" w:rsidRDefault="00BD6C4C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</w:t>
      </w:r>
      <w:r w:rsidR="00D34A6A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ne skupine i krajnje korisnike</w:t>
      </w:r>
      <w:r w:rsidR="00650EB2" w:rsidRPr="008A64B2">
        <w:rPr>
          <w:rFonts w:ascii="Times New Roman" w:hAnsi="Times New Roman" w:cs="Times New Roman"/>
          <w:i/>
          <w:sz w:val="24"/>
          <w:szCs w:val="24"/>
        </w:rPr>
        <w:t>/interesne skupine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="00670EE3" w:rsidRPr="008A64B2">
        <w:rPr>
          <w:rFonts w:ascii="Times New Roman" w:hAnsi="Times New Roman" w:cs="Times New Roman"/>
        </w:rPr>
        <w:t xml:space="preserve"> </w:t>
      </w:r>
      <w:r w:rsidR="00B31E8C" w:rsidRPr="00EF0E5A">
        <w:rPr>
          <w:rFonts w:ascii="Times New Roman" w:hAnsi="Times New Roman" w:cs="Times New Roman"/>
          <w:i/>
          <w:sz w:val="24"/>
          <w:szCs w:val="24"/>
        </w:rPr>
        <w:t>popuniti</w:t>
      </w:r>
      <w:r w:rsidR="009E3A74">
        <w:rPr>
          <w:rFonts w:ascii="Times New Roman" w:hAnsi="Times New Roman" w:cs="Times New Roman"/>
          <w:i/>
          <w:sz w:val="24"/>
          <w:szCs w:val="24"/>
        </w:rPr>
        <w:t xml:space="preserve"> izjavu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o dostupnosti ulaganja lokalnom stanovništvu i različitim interesnim skupinama</w:t>
      </w:r>
      <w:r w:rsidR="00B31E8C">
        <w:rPr>
          <w:rFonts w:ascii="Times New Roman" w:hAnsi="Times New Roman" w:cs="Times New Roman"/>
          <w:i/>
          <w:sz w:val="24"/>
          <w:szCs w:val="24"/>
        </w:rPr>
        <w:t xml:space="preserve"> iz točke 1</w:t>
      </w:r>
      <w:r w:rsidR="008B7581">
        <w:rPr>
          <w:rFonts w:ascii="Times New Roman" w:hAnsi="Times New Roman" w:cs="Times New Roman"/>
          <w:i/>
          <w:sz w:val="24"/>
          <w:szCs w:val="24"/>
        </w:rPr>
        <w:t>1</w:t>
      </w:r>
      <w:r w:rsidR="00B31E8C">
        <w:rPr>
          <w:rFonts w:ascii="Times New Roman" w:hAnsi="Times New Roman" w:cs="Times New Roman"/>
          <w:i/>
          <w:sz w:val="24"/>
          <w:szCs w:val="24"/>
        </w:rPr>
        <w:t>. ovog Priloga</w:t>
      </w:r>
      <w:r w:rsidR="00ED26A7" w:rsidRPr="004B5FB5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02"/>
      </w:tblGrid>
      <w:tr w:rsidR="00BA6741" w14:paraId="2F7A8073" w14:textId="77777777" w:rsidTr="00747880">
        <w:trPr>
          <w:trHeight w:val="1763"/>
        </w:trPr>
        <w:tc>
          <w:tcPr>
            <w:tcW w:w="9628" w:type="dxa"/>
          </w:tcPr>
          <w:p w14:paraId="42A42DB6" w14:textId="51F01B9E" w:rsidR="00BA6741" w:rsidRDefault="00747880" w:rsidP="0093730F"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Ciljne skupine projekta jesu prvenstveno stanovnici naselja Dubrovčak Lijevi. Projektom izgrađena infrastruktura namijenjena je za javno korištenje u društvene svrhe bez naknade. Korištenje projektom izgrađene infrastrukture biti će dostupno svim stanovnicima Grada Ivanić – Grada i svim posjetiteljima.  </w:t>
            </w:r>
          </w:p>
        </w:tc>
      </w:tr>
    </w:tbl>
    <w:p w14:paraId="415C8937" w14:textId="77777777" w:rsidR="00BA6741" w:rsidRPr="008A64B2" w:rsidRDefault="00BA6741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1FA43C04" w14:textId="761C2E72" w:rsidR="00280542" w:rsidRPr="008A64B2" w:rsidRDefault="00163F4B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>. DRUŠTVENA OPRAVDANOST PROJEKTA SUKLADNO CILJEVIMA PROJEKTA</w:t>
      </w:r>
    </w:p>
    <w:p w14:paraId="7A9F358C" w14:textId="4A8238A2" w:rsidR="00163F4B" w:rsidRPr="008A64B2" w:rsidRDefault="00163F4B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na koji način će ciljevi projekta i očekivani rezultati projekta 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doprinijeti području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kojem se planira provedba projekta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odnosno koji su pozitivni </w:t>
      </w:r>
      <w:r w:rsidR="00B06E29">
        <w:rPr>
          <w:rFonts w:ascii="Times New Roman" w:hAnsi="Times New Roman" w:cs="Times New Roman"/>
          <w:i/>
          <w:color w:val="000000"/>
          <w:sz w:val="24"/>
          <w:szCs w:val="24"/>
        </w:rPr>
        <w:t>učinci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za 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cilj</w:t>
      </w:r>
      <w:r w:rsidR="00A059AB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skupine i krajnje korisnike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 w:rsidR="00F47B77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02"/>
      </w:tblGrid>
      <w:tr w:rsidR="00BA6741" w14:paraId="06581C78" w14:textId="77777777" w:rsidTr="00BA6741">
        <w:trPr>
          <w:trHeight w:val="4298"/>
        </w:trPr>
        <w:tc>
          <w:tcPr>
            <w:tcW w:w="9628" w:type="dxa"/>
          </w:tcPr>
          <w:p w14:paraId="275EEE8B" w14:textId="4C776886" w:rsidR="0065329F" w:rsidRPr="0065329F" w:rsidRDefault="0065329F" w:rsidP="0065329F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5329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Prilikom određivanja društvenih koristi analizirale su se potencijalne mjerljive i nemjerljive koristi. Projekt generira koristi kao što su povećanje opće i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društvene kvalitete života naselja Dubrovčak Lijevi, </w:t>
            </w:r>
            <w:r w:rsidRPr="0065329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opće kvalitete života u destinaciji stanovnika različite životne dobi,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prvenstveno mlađe populacije, </w:t>
            </w:r>
            <w:r w:rsidRPr="0065329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stvaranje pozitivnog imidža naselja i Grada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 projekt razvija i jača društven</w:t>
            </w:r>
            <w:r w:rsidR="007F5A2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i turističk</w:t>
            </w:r>
            <w:r w:rsidR="007F5A2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7F5A2C" w:rsidRPr="007F5A2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infrastrukturu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naselja.</w:t>
            </w:r>
          </w:p>
          <w:p w14:paraId="7FF204C9" w14:textId="0D2FFECD" w:rsidR="0065329F" w:rsidRPr="0065329F" w:rsidRDefault="0065329F" w:rsidP="0065329F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5329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Realizacijom projekta pridonosi se zadovoljenju potreba građana u području unapređenja kvalitete življenja, zadovoljenje potreba </w:t>
            </w:r>
            <w:r w:rsidR="007F5A2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sportskih i rekreativnih aktivnosti</w:t>
            </w:r>
            <w:r w:rsidRPr="0065329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te zadovoljenju potrebe ciljnih skupina poboljšavanjem uvjeta za razvoj društvenog i poslovnog života što direktno utječe na ostanak stanovništva na  domicilnom području te na  ravnomjerni razvoj ruralne sredine u odnosu na urbane sredine, razvoj društveno</w:t>
            </w:r>
            <w:r w:rsidR="007F5A2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</w:t>
            </w:r>
            <w:r w:rsidRPr="0065329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segmenta naselja </w:t>
            </w:r>
            <w:r w:rsidR="007F5A2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Dubrovčak Lijevi</w:t>
            </w:r>
            <w:r w:rsidRPr="0065329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 okolnih naselja, te samog Grada.</w:t>
            </w:r>
          </w:p>
          <w:p w14:paraId="5F1D6928" w14:textId="77777777" w:rsidR="00BA6741" w:rsidRDefault="00BA6741" w:rsidP="006A742D">
            <w:pPr>
              <w:rPr>
                <w:rFonts w:ascii="Times New Roman" w:hAnsi="Times New Roman" w:cs="Times New Roman"/>
              </w:rPr>
            </w:pPr>
          </w:p>
        </w:tc>
      </w:tr>
    </w:tbl>
    <w:p w14:paraId="754D36E6" w14:textId="1608CB97" w:rsidR="006A742D" w:rsidRPr="004937F8" w:rsidRDefault="006A742D" w:rsidP="006A742D">
      <w:pPr>
        <w:rPr>
          <w:rFonts w:ascii="Times New Roman" w:hAnsi="Times New Roman" w:cs="Times New Roman"/>
        </w:rPr>
      </w:pPr>
    </w:p>
    <w:p w14:paraId="2E3FFF5B" w14:textId="77777777" w:rsidR="00CF1491" w:rsidRPr="008A64B2" w:rsidRDefault="00CF149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40BD1" w14:textId="77777777" w:rsidR="00D875C8" w:rsidRPr="008A64B2" w:rsidRDefault="00D875C8" w:rsidP="00D875C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5. POVEZANOST DJELATNOSTI UDRUGE/VJERSKE ZAJEDNICE S PROJEKTOM I DOKAZ DA JE HUMANITARNA/DRUŠTVENA DJELATNOST UDRUGE/VJERSKE ZAJEDNICE OD POSEBNOG INTERESA ZA LOKALNO STANOVNIŠTVO</w:t>
      </w:r>
    </w:p>
    <w:p w14:paraId="2FB62EE3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5.1. POVEZANOST DJELATNOSTI UDRUGE/VJERSKE ZAJEDNICE S PROJEKTOM</w:t>
      </w:r>
    </w:p>
    <w:p w14:paraId="7B318BC2" w14:textId="62F2975B" w:rsidR="00D875C8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na koji je način projekt povezan s podacima iz Registra udruga odnosno statuta udruge ili vjerske zajednice vezano za ciljane skupine, ciljeve, djelatnosti kojima se ostvaruje cilj, te s područjima djelovanja i aktivnostima udruge/vjerske zajednice; navedeno se odnosi isklj</w:t>
      </w:r>
      <w:r w:rsidR="001D4007">
        <w:rPr>
          <w:rFonts w:ascii="Times New Roman" w:hAnsi="Times New Roman" w:cs="Times New Roman"/>
          <w:i/>
          <w:sz w:val="24"/>
          <w:szCs w:val="24"/>
        </w:rPr>
        <w:t>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udruga ili vjerska zajednica koja se bavi humanitarnim i društvenim djelatnostima)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02"/>
      </w:tblGrid>
      <w:tr w:rsidR="00BA6741" w14:paraId="536CD5E6" w14:textId="77777777" w:rsidTr="00175E1F">
        <w:trPr>
          <w:trHeight w:val="1119"/>
        </w:trPr>
        <w:tc>
          <w:tcPr>
            <w:tcW w:w="9628" w:type="dxa"/>
          </w:tcPr>
          <w:p w14:paraId="25BCB4B2" w14:textId="4E0DF975" w:rsidR="00BA6741" w:rsidRDefault="00175E1F" w:rsidP="00D875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N/p</w:t>
            </w:r>
          </w:p>
        </w:tc>
      </w:tr>
    </w:tbl>
    <w:p w14:paraId="0FA57293" w14:textId="77777777" w:rsidR="00BA6741" w:rsidRPr="008A64B2" w:rsidRDefault="00BA6741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D46686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5.2. DOKAZ DA SU HUMANITARNE I DRUŠTVENE DJELATNOSTI UDRUGE/VJERSKE ZAJEDNICE OD POSEBNOG INTERESA ZA LOKALNO STANOVNIŠTVO</w:t>
      </w:r>
    </w:p>
    <w:p w14:paraId="3B6DF554" w14:textId="5B3FE4A3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po kojoj su osnovi humanitarne i društvene djelatnosti udruge/vjerske zajednice od posebnog interesa za lokalno stanovništvo;</w:t>
      </w:r>
      <w:r w:rsidRPr="008A64B2">
        <w:rPr>
          <w:rFonts w:ascii="Times New Roman" w:hAnsi="Times New Roman" w:cs="Times New Roman"/>
          <w:i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navedeno se odnos</w:t>
      </w:r>
      <w:r w:rsidR="00D60267">
        <w:rPr>
          <w:rFonts w:ascii="Times New Roman" w:hAnsi="Times New Roman" w:cs="Times New Roman"/>
          <w:i/>
          <w:sz w:val="24"/>
          <w:szCs w:val="24"/>
        </w:rPr>
        <w:t>i isključivo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ositelj projekta </w:t>
      </w:r>
      <w:r w:rsidRPr="008A64B2">
        <w:rPr>
          <w:rFonts w:ascii="Times New Roman" w:hAnsi="Times New Roman" w:cs="Times New Roman"/>
          <w:i/>
          <w:sz w:val="24"/>
          <w:szCs w:val="24"/>
        </w:rPr>
        <w:t>udruga ili vjerska zajednica koje se bave humanitarnim i društvenim djelatnostima)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02"/>
      </w:tblGrid>
      <w:tr w:rsidR="00BA6741" w14:paraId="39CBBAC6" w14:textId="77777777" w:rsidTr="00175E1F">
        <w:trPr>
          <w:trHeight w:val="1449"/>
        </w:trPr>
        <w:tc>
          <w:tcPr>
            <w:tcW w:w="9628" w:type="dxa"/>
          </w:tcPr>
          <w:p w14:paraId="0B0E2C72" w14:textId="40A9AB8A" w:rsidR="00BA6741" w:rsidRDefault="00175E1F" w:rsidP="008A6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N/p</w:t>
            </w:r>
          </w:p>
        </w:tc>
      </w:tr>
    </w:tbl>
    <w:p w14:paraId="24CA72C0" w14:textId="520350B8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9B074F" w14:textId="315BEC98" w:rsidR="00BD6C4C" w:rsidRPr="008A64B2" w:rsidRDefault="00D875C8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BD6C4C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FINANCIJSKI KAPACITET NOSITELJA PROJEKTA</w:t>
      </w:r>
      <w:r w:rsidR="00DA6A7F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AE72AD0" w14:textId="77777777" w:rsidR="00F61A66" w:rsidRPr="008A64B2" w:rsidRDefault="006A6A1E" w:rsidP="00C649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PLANIRANI IZVORI</w:t>
      </w:r>
      <w:r w:rsidR="00105A7C" w:rsidRPr="008A64B2">
        <w:rPr>
          <w:rFonts w:ascii="Times New Roman" w:hAnsi="Times New Roman" w:cs="Times New Roman"/>
          <w:sz w:val="24"/>
          <w:szCs w:val="24"/>
        </w:rPr>
        <w:t xml:space="preserve"> SREDSTAVA ZA PROVEDBU PROJEKTA</w:t>
      </w:r>
      <w:r w:rsidR="006F62F9" w:rsidRPr="008A64B2">
        <w:rPr>
          <w:rFonts w:ascii="Times New Roman" w:hAnsi="Times New Roman" w:cs="Times New Roman"/>
          <w:sz w:val="24"/>
          <w:szCs w:val="24"/>
        </w:rPr>
        <w:t>/OPERACIJE</w:t>
      </w:r>
    </w:p>
    <w:p w14:paraId="016240F6" w14:textId="77777777" w:rsidR="00105A7C" w:rsidRPr="008A64B2" w:rsidRDefault="00806E3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110337" w:rsidRPr="008A64B2">
        <w:rPr>
          <w:rFonts w:ascii="Times New Roman" w:hAnsi="Times New Roman" w:cs="Times New Roman"/>
          <w:i/>
          <w:sz w:val="24"/>
          <w:szCs w:val="24"/>
        </w:rPr>
        <w:t xml:space="preserve">prikazati dinamiku financiranja projekta po godinama planirane provedbe do potpune realizacije i funkcionalnosti projekta te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 xml:space="preserve">sve planirane izvore sredstava </w:t>
      </w:r>
      <w:r w:rsidR="00C662E8" w:rsidRPr="008A64B2">
        <w:rPr>
          <w:rFonts w:ascii="Times New Roman" w:hAnsi="Times New Roman" w:cs="Times New Roman"/>
          <w:i/>
          <w:sz w:val="24"/>
          <w:szCs w:val="24"/>
        </w:rPr>
        <w:t xml:space="preserve">potrebne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>za provedbu projekta)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02"/>
      </w:tblGrid>
      <w:tr w:rsidR="00BA6741" w14:paraId="11DF4D28" w14:textId="77777777" w:rsidTr="00BA6741">
        <w:trPr>
          <w:trHeight w:val="6894"/>
        </w:trPr>
        <w:tc>
          <w:tcPr>
            <w:tcW w:w="9628" w:type="dxa"/>
          </w:tcPr>
          <w:p w14:paraId="149777E5" w14:textId="756B2D16" w:rsidR="00BA6741" w:rsidRDefault="00175E1F" w:rsidP="007A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E1F">
              <w:rPr>
                <w:rFonts w:ascii="Times New Roman" w:hAnsi="Times New Roman" w:cs="Times New Roman"/>
                <w:sz w:val="24"/>
                <w:szCs w:val="24"/>
              </w:rPr>
              <w:t>Planirani izvor za provedbu projekta je iz proračuna Grada – Ivanić Grada uz sufinanciranje sredstvima ovog natječaja. Grad Ivanić – Grad kao nositelj projekta posjeduje dovoljne financijske kapacitete za uspješnu provedbu projekta te je u svom proračunu i projekcijama proračuna osigurao dovoljna financijska sredstva za nesmetanu i urednu provedbu projekta</w:t>
            </w:r>
          </w:p>
        </w:tc>
      </w:tr>
    </w:tbl>
    <w:p w14:paraId="276BF3B4" w14:textId="77777777" w:rsidR="00D875C8" w:rsidRPr="008A64B2" w:rsidRDefault="00D875C8" w:rsidP="002024B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710326" w14:textId="53B0EC70" w:rsidR="00C11E4C" w:rsidRPr="008A64B2" w:rsidRDefault="00D875C8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7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>. LJUDSKI KAPACITET</w:t>
      </w:r>
      <w:r w:rsidR="00B06E29">
        <w:rPr>
          <w:rFonts w:ascii="Times New Roman" w:hAnsi="Times New Roman" w:cs="Times New Roman"/>
          <w:b/>
          <w:sz w:val="24"/>
          <w:szCs w:val="24"/>
        </w:rPr>
        <w:t>I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NOSITELJA PROJEKTA</w:t>
      </w:r>
    </w:p>
    <w:p w14:paraId="6DED8B65" w14:textId="20575409" w:rsidR="00BA6741" w:rsidRDefault="006F62F9" w:rsidP="00BA674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ti dosadašnja iskustva </w:t>
      </w:r>
      <w:r w:rsidR="00D60267">
        <w:rPr>
          <w:rFonts w:ascii="Times New Roman" w:hAnsi="Times New Roman" w:cs="Times New Roman"/>
          <w:i/>
          <w:sz w:val="24"/>
          <w:szCs w:val="24"/>
        </w:rPr>
        <w:t>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 provedbi sličnih projekta,</w:t>
      </w:r>
      <w:r w:rsidR="00B06E29">
        <w:rPr>
          <w:rFonts w:ascii="Times New Roman" w:hAnsi="Times New Roman" w:cs="Times New Roman"/>
          <w:i/>
          <w:sz w:val="24"/>
          <w:szCs w:val="24"/>
        </w:rPr>
        <w:t xml:space="preserve"> te ljudske kapacitete za provedbu planiranog projekta, odnosno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broj osoba i stručne kvalifikacije osoba uključenih u provedbu </w:t>
      </w:r>
      <w:r w:rsidR="00203D6E" w:rsidRPr="008A64B2">
        <w:rPr>
          <w:rFonts w:ascii="Times New Roman" w:hAnsi="Times New Roman" w:cs="Times New Roman"/>
          <w:i/>
          <w:sz w:val="24"/>
          <w:szCs w:val="24"/>
        </w:rPr>
        <w:t xml:space="preserve">planiranog </w:t>
      </w:r>
      <w:r w:rsidRPr="008A64B2">
        <w:rPr>
          <w:rFonts w:ascii="Times New Roman" w:hAnsi="Times New Roman" w:cs="Times New Roman"/>
          <w:i/>
          <w:sz w:val="24"/>
          <w:szCs w:val="24"/>
        </w:rPr>
        <w:t>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>; 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ili pravnu osobu koja održava/upravlja projektom, a koji </w:t>
      </w:r>
      <w:r w:rsidR="00B06E29">
        <w:rPr>
          <w:rFonts w:ascii="Times New Roman" w:hAnsi="Times New Roman" w:cs="Times New Roman"/>
          <w:i/>
          <w:sz w:val="24"/>
          <w:szCs w:val="24"/>
        </w:rPr>
        <w:t>će biti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uključeni u održavanje i upravljanje realiziranim projektom u razdoblju od najmanje pet godina od dana konačne isplate sredstava iz </w:t>
      </w:r>
      <w:r w:rsidR="00BA6741" w:rsidRPr="00BA6741">
        <w:rPr>
          <w:rFonts w:ascii="Times New Roman" w:hAnsi="Times New Roman" w:cs="Times New Roman"/>
          <w:i/>
          <w:sz w:val="24"/>
          <w:szCs w:val="24"/>
        </w:rPr>
        <w:t>TO 2.1.1. „Razvoj opće društvene infrastrukture u svrhu podizanja kvalitete života stanovnika LAG-a“ unutar Lokalne razvojne strategije LAG-a „Moslavina“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02"/>
      </w:tblGrid>
      <w:tr w:rsidR="00BA6741" w14:paraId="021A566C" w14:textId="77777777" w:rsidTr="00BA6741">
        <w:trPr>
          <w:trHeight w:val="4221"/>
        </w:trPr>
        <w:tc>
          <w:tcPr>
            <w:tcW w:w="9628" w:type="dxa"/>
          </w:tcPr>
          <w:p w14:paraId="3953365A" w14:textId="77777777" w:rsidR="00DA1B23" w:rsidRPr="00DA1B23" w:rsidRDefault="00DA1B23" w:rsidP="00DA1B2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1B2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Grad Ivanić-Grad ima provedbene kapacitete i relevantno iskustvo u izradi i provedbi projekata (kako iz EU, tako i iz drugih izvora) što osigurava pravovremenu i uspješnu provedbu projekta u skladu s planiranim aktivnostima i ugovornim obvezama. Tim za upravljanje projektom sastoji se od voditelja i koordinatora projekta, financijskog administratora i tehničkog administratora. Tim za provedbu projekta sastoji se od četvero djelatnika s višegodišnjim iskustvom na provedbi različitih projekata sufinanciranih iz raznih EU programa, EFRD, EAFRD, ESF, </w:t>
            </w:r>
            <w:proofErr w:type="spellStart"/>
            <w:r w:rsidRPr="00DA1B23">
              <w:rPr>
                <w:rFonts w:ascii="Times New Roman" w:hAnsi="Times New Roman" w:cs="Times New Roman"/>
                <w:i/>
                <w:sz w:val="24"/>
                <w:szCs w:val="24"/>
              </w:rPr>
              <w:t>Interreg</w:t>
            </w:r>
            <w:proofErr w:type="spellEnd"/>
            <w:r w:rsidRPr="00DA1B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Europe kao i iz nacionalnih izvora.</w:t>
            </w:r>
          </w:p>
          <w:p w14:paraId="4858FCED" w14:textId="77777777" w:rsidR="00DA1B23" w:rsidRPr="00DA1B23" w:rsidRDefault="00DA1B23" w:rsidP="00DA1B2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1B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Slični provedeni projekti: Izgradnja modularnog drvno – tehnološkog poduzetničkog inkubatora u Ivanić – Gradu, Rekonstrukcije Dječjeg vrtića Ivanić-Grad- objekt Tratinčica, </w:t>
            </w:r>
            <w:hyperlink r:id="rId14" w:history="1">
              <w:r w:rsidRPr="00DA1B23">
                <w:rPr>
                  <w:rStyle w:val="Hiperveza"/>
                  <w:rFonts w:ascii="Times New Roman" w:hAnsi="Times New Roman" w:cs="Times New Roman"/>
                  <w:i/>
                  <w:sz w:val="24"/>
                  <w:szCs w:val="24"/>
                </w:rPr>
                <w:t>Unaprjeđenje prometne infrastrukture Poduzetničke zone Ivanić-Grad Jug- zona 3</w:t>
              </w:r>
            </w:hyperlink>
            <w:r w:rsidRPr="00DA1B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ENGAGE (IEE), ENCRO (IPA), RE-SEETIES (SEE). Upravljanje i  koordinaciju  projektom provoditi će djelatnici Upravnog odjela za financije, gospodarstvo, komunalne djelatnosti i prostorno planiranje uz stručnu podršku Razvojne agencije  Ivanić – Grad. Tim za upravljanje projektom sastoji se od četiri člana. Voditelj projekta je direktor Razvojne agencije Grada Ivanić – Grada, posjeduje više od 10 godina radnog iskustva, kao i relevantno iskustvo u pripremi i provedbi projekata iz različitih EU programa (IPA, IEE, SEE, CIP), a ostatak projektnog tima čine viša referentica za provedbu javne nabave s preko 20 g. radnog iskustva, voditeljica upravnog odjela za financije i računovodstvo s više od 20 godina radnog iskustva u financijskom sektoru koja će biti zadužena za financijsko administriranje projekta, voditelj odsjeka za komunalne djelatnosti, komunalnu infrastrukturu i prostorno planiranje s višegodišnjim iskustvom u projektiranju i urbanom planiranju bit će zadužena za provedbu pojedinih aktivnosti.). Grad posjeduje svu potrebnu opremu i ljudske kapacitete za upravljanje projektima ove vrste. </w:t>
            </w:r>
          </w:p>
          <w:p w14:paraId="46C15658" w14:textId="77777777" w:rsidR="00BA6741" w:rsidRDefault="00BA6741" w:rsidP="00DA1B2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13F8F19" w14:textId="77777777" w:rsidR="00BA6741" w:rsidRPr="00BA6741" w:rsidRDefault="00BA6741" w:rsidP="00BA674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4E5B284" w14:textId="77777777" w:rsidR="00AE52F3" w:rsidRPr="008A64B2" w:rsidRDefault="00B21EFE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 xml:space="preserve">NAČIN ODRŽAVANJA I UPRAVLJANJA PROJEKTOM </w:t>
      </w:r>
    </w:p>
    <w:p w14:paraId="0AFE4CB2" w14:textId="77777777" w:rsidR="005A5617" w:rsidRPr="008A64B2" w:rsidRDefault="00B21EFE" w:rsidP="00CE05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sz w:val="24"/>
          <w:szCs w:val="24"/>
        </w:rPr>
        <w:t>.1. PRIHODI I</w:t>
      </w:r>
      <w:r w:rsidR="006E1AD7" w:rsidRPr="008A64B2">
        <w:rPr>
          <w:rFonts w:ascii="Times New Roman" w:hAnsi="Times New Roman" w:cs="Times New Roman"/>
          <w:sz w:val="24"/>
          <w:szCs w:val="24"/>
        </w:rPr>
        <w:t xml:space="preserve"> RASHODI PROJEKTA/OPERACIJE</w:t>
      </w:r>
    </w:p>
    <w:p w14:paraId="58D0FADD" w14:textId="77777777" w:rsidR="00AE52F3" w:rsidRPr="008A64B2" w:rsidRDefault="006E1AD7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planirane 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 xml:space="preserve">izvore </w:t>
      </w:r>
      <w:r w:rsidRPr="008A64B2">
        <w:rPr>
          <w:rFonts w:ascii="Times New Roman" w:hAnsi="Times New Roman" w:cs="Times New Roman"/>
          <w:i/>
          <w:sz w:val="24"/>
          <w:szCs w:val="24"/>
        </w:rPr>
        <w:t>prihod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a/sufina</w:t>
      </w:r>
      <w:r w:rsidR="007167F9" w:rsidRPr="008A64B2">
        <w:rPr>
          <w:rFonts w:ascii="Times New Roman" w:hAnsi="Times New Roman" w:cs="Times New Roman"/>
          <w:i/>
          <w:sz w:val="24"/>
          <w:szCs w:val="24"/>
        </w:rPr>
        <w:t>n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ciranja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 rashode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nužne za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upravljanje i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održavanje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realiziranim projektom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u predviđenoj funkciji </w:t>
      </w:r>
      <w:r w:rsidR="00BC6EC8" w:rsidRPr="008A64B2">
        <w:rPr>
          <w:rFonts w:ascii="Times New Roman" w:hAnsi="Times New Roman" w:cs="Times New Roman"/>
          <w:i/>
          <w:sz w:val="24"/>
          <w:szCs w:val="24"/>
        </w:rPr>
        <w:t>projekta)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02"/>
      </w:tblGrid>
      <w:tr w:rsidR="00BA6741" w14:paraId="2DD910CF" w14:textId="77777777" w:rsidTr="00DA1B23">
        <w:trPr>
          <w:trHeight w:val="1307"/>
        </w:trPr>
        <w:tc>
          <w:tcPr>
            <w:tcW w:w="9628" w:type="dxa"/>
          </w:tcPr>
          <w:p w14:paraId="03E2FECE" w14:textId="50955185" w:rsidR="00DA1B23" w:rsidRPr="00DA1B23" w:rsidRDefault="00DA1B23" w:rsidP="00DA1B23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A1B2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Sportsko igralište u Dubrovčaku Lijevom kao javna društvena infrastruktura bit će izgrađena i uređena aktivnom provedbom Projekta. Nakon završetka, obzirom da je to dio javne infrastrukture, o istoj će se brinuti Grad Ivanić-Grad što je i dužan sukladno Zakonu o  komunalnom gospodarstvu (NN 36/95, 70/97, 128/99, 57/00, 129/00, 59/01, 26/03, 82/04, 110/04, 178/04, 38/09, 79/09, 153/09, 49/11, 84/11, 90/11, 144/12, 94/13, 153/13, 147/14, 36/15) članak 6. Održavanje svih projektom nastalih rezultata provoditi će se sukladno Programu održavanja komunalne infrastrukture Grada Ivanić – Grada koji se donosi za svaku godinu. Temeljem donesenog plana održavanja Grad je u proračunu osigurao financijska sredstva za održavanje projektom izgrađene infrastrukture i opreme. Održavanje infrastrukture i opreme koja će nastati ovim projektom vršiti će gradsko komunalno društvo Komunalni centar Ivanić-Grad d.o.o.</w:t>
            </w:r>
          </w:p>
          <w:p w14:paraId="3655DA56" w14:textId="77777777" w:rsidR="00DA1B23" w:rsidRPr="00DA1B23" w:rsidRDefault="00DA1B23" w:rsidP="00DA1B23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A1B2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U garantnom roku od 2 godine popravke odnosno otklanjanje nedostataka vrši izvoditelj radova, a kasnije ovlašteni stručni djelatnici. Redovito održavanje odnosi se na održavanje u graditeljskom i funkcionalnom stanju i to:</w:t>
            </w:r>
          </w:p>
          <w:p w14:paraId="16A5E33F" w14:textId="77777777" w:rsidR="00DA1B23" w:rsidRPr="00DA1B23" w:rsidRDefault="00DA1B23" w:rsidP="00DA1B23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A1B2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 kontrola i popravak ili zamjena popločenja</w:t>
            </w:r>
          </w:p>
          <w:p w14:paraId="750B9EBB" w14:textId="1B3D9C86" w:rsidR="00DA1B23" w:rsidRPr="00DA1B23" w:rsidRDefault="00DA1B23" w:rsidP="00DA1B23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A1B2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 održavanje opreme</w:t>
            </w:r>
          </w:p>
          <w:p w14:paraId="6B68CF0C" w14:textId="737BBE48" w:rsidR="00DA1B23" w:rsidRPr="00DA1B23" w:rsidRDefault="00DA1B23" w:rsidP="00DA1B23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A1B2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- održavanje i njegovanje krajobraznog  uređenja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i okoliša</w:t>
            </w:r>
          </w:p>
          <w:p w14:paraId="2EDBE56A" w14:textId="46F38718" w:rsidR="00DA1B23" w:rsidRPr="00DA1B23" w:rsidRDefault="00DA1B23" w:rsidP="00DA1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B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1B2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redoviti servisi i popravke</w:t>
            </w:r>
          </w:p>
          <w:p w14:paraId="403AE111" w14:textId="361FD14E" w:rsidR="00BA6741" w:rsidRPr="00DA1B23" w:rsidRDefault="00DA1B23" w:rsidP="00DA1B23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A1B2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 xml:space="preserve">Grad Ivanić – Grad u svom proračunu za 2022. godinu predvidio je financijska sredstva  za održavanje projektom nastale infrastrukture i svih projektnih rezultata kao i u projekcijama proračuna za 2023. i 2024. godinu. </w:t>
            </w:r>
          </w:p>
        </w:tc>
      </w:tr>
    </w:tbl>
    <w:p w14:paraId="2381DDF2" w14:textId="6B6D67C8" w:rsidR="00E74D5F" w:rsidRDefault="00E74D5F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09" w:type="dxa"/>
        <w:tblInd w:w="93" w:type="dxa"/>
        <w:tblLook w:val="04A0" w:firstRow="1" w:lastRow="0" w:firstColumn="1" w:lastColumn="0" w:noHBand="0" w:noVBand="1"/>
      </w:tblPr>
      <w:tblGrid>
        <w:gridCol w:w="3513"/>
        <w:gridCol w:w="1146"/>
        <w:gridCol w:w="1146"/>
        <w:gridCol w:w="1168"/>
        <w:gridCol w:w="1168"/>
        <w:gridCol w:w="1168"/>
      </w:tblGrid>
      <w:tr w:rsidR="00AD038B" w:rsidRPr="00AD038B" w14:paraId="0EC97AC0" w14:textId="77777777" w:rsidTr="001E0333">
        <w:trPr>
          <w:trHeight w:val="615"/>
        </w:trPr>
        <w:tc>
          <w:tcPr>
            <w:tcW w:w="9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bottom"/>
            <w:hideMark/>
          </w:tcPr>
          <w:p w14:paraId="4D9CADEF" w14:textId="745CBC14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Plan održavanja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Sportskog igrališta u Dubrovčaku Lijevom</w:t>
            </w:r>
          </w:p>
        </w:tc>
      </w:tr>
      <w:tr w:rsidR="001E0333" w:rsidRPr="00AD038B" w14:paraId="6AD2EE5F" w14:textId="77777777" w:rsidTr="001E0333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76D1D1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14:paraId="035C365E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2022.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14:paraId="039E55CC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2023.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14:paraId="6C4E1593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2024.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A9E9786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2025.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127B18C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2026.</w:t>
            </w:r>
          </w:p>
        </w:tc>
      </w:tr>
      <w:tr w:rsidR="00AD038B" w:rsidRPr="00AD038B" w14:paraId="4620FC56" w14:textId="77777777" w:rsidTr="001E0333">
        <w:trPr>
          <w:trHeight w:val="66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9A4A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Zimska služba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DDEE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5.500,00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4AD28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5.500,00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AC21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5.500,00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243C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5.500,00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DFF1D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5.500,00</w:t>
            </w:r>
          </w:p>
        </w:tc>
      </w:tr>
      <w:tr w:rsidR="00AD038B" w:rsidRPr="00AD038B" w14:paraId="02C7AEF1" w14:textId="77777777" w:rsidTr="001E0333">
        <w:trPr>
          <w:trHeight w:val="57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594C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Radovi čišćenja, pranja i bojanja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9212" w14:textId="3B258106" w:rsidR="00AD038B" w:rsidRPr="00AD038B" w:rsidRDefault="001E0333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B818" w14:textId="6874F303" w:rsidR="00AD038B" w:rsidRPr="00AD038B" w:rsidRDefault="001E0333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5EB6" w14:textId="1D79D9BA" w:rsidR="00AD038B" w:rsidRPr="00AD038B" w:rsidRDefault="001E0333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5ED6" w14:textId="3F4C0457" w:rsidR="00AD038B" w:rsidRPr="00AD038B" w:rsidRDefault="001E0333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4EEBE" w14:textId="42B66E0C" w:rsidR="00AD038B" w:rsidRPr="00AD038B" w:rsidRDefault="001E0333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5.000,00</w:t>
            </w:r>
          </w:p>
        </w:tc>
      </w:tr>
      <w:tr w:rsidR="00AD038B" w:rsidRPr="00AD038B" w14:paraId="0E82696D" w14:textId="77777777" w:rsidTr="001E0333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F04B4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Radovi održavanja krajobraza </w:t>
            </w: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 travnjaka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4D3A" w14:textId="528A6847" w:rsidR="00AD038B" w:rsidRPr="00AD038B" w:rsidRDefault="001E0333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80C3" w14:textId="308826DB" w:rsidR="00AD038B" w:rsidRPr="00AD038B" w:rsidRDefault="001E0333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98C0" w14:textId="30145CF7" w:rsidR="00AD038B" w:rsidRPr="00AD038B" w:rsidRDefault="001E0333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C469" w14:textId="5FB868D3" w:rsidR="00AD038B" w:rsidRPr="00AD038B" w:rsidRDefault="001E0333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AEA2" w14:textId="7E2772DD" w:rsidR="00AD038B" w:rsidRPr="00AD038B" w:rsidRDefault="001E0333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5.000,00</w:t>
            </w:r>
          </w:p>
        </w:tc>
      </w:tr>
      <w:tr w:rsidR="00AD038B" w:rsidRPr="00AD038B" w14:paraId="30773198" w14:textId="77777777" w:rsidTr="001E0333">
        <w:trPr>
          <w:trHeight w:val="61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335A4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Ostali radovi održavanja </w:t>
            </w: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infrastrukture i opreme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B383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1.000,00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87BF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1.000,00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9E74" w14:textId="34481F2B" w:rsidR="00AD038B" w:rsidRPr="00AD038B" w:rsidRDefault="001E0333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898E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3.000,00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D604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5.000,00</w:t>
            </w:r>
          </w:p>
        </w:tc>
      </w:tr>
      <w:tr w:rsidR="001E0333" w:rsidRPr="00AD038B" w14:paraId="70AC1153" w14:textId="77777777" w:rsidTr="001E0333">
        <w:trPr>
          <w:trHeight w:val="63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7B65B66" w14:textId="77777777" w:rsidR="00AD038B" w:rsidRPr="00AD038B" w:rsidRDefault="00AD038B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9DD4752" w14:textId="4A438611" w:rsidR="00AD038B" w:rsidRPr="00AD038B" w:rsidRDefault="001E0333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9.500</w:t>
            </w:r>
            <w:r w:rsidR="00AD038B"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9060AE1" w14:textId="47F027FA" w:rsidR="00AD038B" w:rsidRPr="00AD038B" w:rsidRDefault="001E0333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9.500</w:t>
            </w:r>
            <w:r w:rsidR="00AD038B"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7DC1768" w14:textId="1E5A8C0A" w:rsidR="00AD038B" w:rsidRPr="00AD038B" w:rsidRDefault="001E0333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12.500</w:t>
            </w:r>
            <w:r w:rsidR="00AD038B"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17AB710" w14:textId="1C188104" w:rsidR="00AD038B" w:rsidRPr="00AD038B" w:rsidRDefault="001E0333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14.500</w:t>
            </w:r>
            <w:r w:rsidR="00AD038B"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BCDC931" w14:textId="6EB0AD2A" w:rsidR="00AD038B" w:rsidRPr="00AD038B" w:rsidRDefault="001E0333" w:rsidP="00AD03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AD038B" w:rsidRPr="00AD038B">
              <w:rPr>
                <w:rFonts w:ascii="Times New Roman" w:hAnsi="Times New Roman" w:cs="Times New Roman"/>
                <w:b/>
                <w:sz w:val="24"/>
                <w:szCs w:val="24"/>
              </w:rPr>
              <w:t>.500,00</w:t>
            </w:r>
          </w:p>
        </w:tc>
      </w:tr>
    </w:tbl>
    <w:p w14:paraId="5F3349A2" w14:textId="77777777" w:rsidR="00AD038B" w:rsidRDefault="00AD038B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27F1A0" w14:textId="77777777" w:rsidR="00AD038B" w:rsidRPr="008A64B2" w:rsidRDefault="00AD038B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2C41F7" w14:textId="0E73C7D1" w:rsidR="00B21EFE" w:rsidRPr="008A64B2" w:rsidRDefault="00B21EFE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8.2. ODRŽAVANJE I UPRAVLJANJE PROJEKTOM/OPERACIJOM PET GODINA OD DANA KONAČNE ISPLATE SREDSTAVA</w:t>
      </w:r>
    </w:p>
    <w:p w14:paraId="64EB76C9" w14:textId="59F13286" w:rsidR="00B21EFE" w:rsidRDefault="00B21EFE" w:rsidP="00B21EF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, a koji su uključeni u održavanje i upravljanje realiziranim projektom u razdoblju od najmanje pet godina od dana konačne isplate sredstava </w:t>
      </w:r>
      <w:r w:rsidR="00BA6741" w:rsidRPr="00BA6741">
        <w:rPr>
          <w:rFonts w:ascii="Times New Roman" w:hAnsi="Times New Roman" w:cs="Times New Roman"/>
          <w:i/>
          <w:sz w:val="24"/>
          <w:szCs w:val="24"/>
        </w:rPr>
        <w:t>TO 2.1.1. „Razvoj opće društvene infrastrukture u svrhu podizanja kvalitete života stanovnika LAG-a“ unutar Lokalne razvojne strategije LAG-a „Moslavina“</w:t>
      </w:r>
      <w:r w:rsidRPr="008A64B2">
        <w:rPr>
          <w:rFonts w:ascii="Times New Roman" w:hAnsi="Times New Roman" w:cs="Times New Roman"/>
          <w:i/>
          <w:sz w:val="24"/>
          <w:szCs w:val="24"/>
        </w:rPr>
        <w:t>; navesti način upravl</w:t>
      </w:r>
      <w:r w:rsidR="00D60267">
        <w:rPr>
          <w:rFonts w:ascii="Times New Roman" w:hAnsi="Times New Roman" w:cs="Times New Roman"/>
          <w:i/>
          <w:sz w:val="24"/>
          <w:szCs w:val="24"/>
        </w:rPr>
        <w:t>janja projektom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prenio ili će prenijeti upravljanje projektom/operacijom drugoj pravnoj osobi sukladno nadležnim propisima)</w:t>
      </w:r>
    </w:p>
    <w:p w14:paraId="152C2F73" w14:textId="77777777" w:rsidR="00262B9A" w:rsidRPr="008A64B2" w:rsidRDefault="00262B9A" w:rsidP="00B21EFE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02"/>
      </w:tblGrid>
      <w:tr w:rsidR="00C3008C" w14:paraId="4F06A1EE" w14:textId="77777777" w:rsidTr="00C3008C">
        <w:trPr>
          <w:trHeight w:val="3796"/>
        </w:trPr>
        <w:tc>
          <w:tcPr>
            <w:tcW w:w="9402" w:type="dxa"/>
          </w:tcPr>
          <w:p w14:paraId="504E2A78" w14:textId="77777777" w:rsidR="00262B9A" w:rsidRPr="00262B9A" w:rsidRDefault="00262B9A" w:rsidP="00262B9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62B9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Grad Ivanić Grad kao jedinica lokalne samouprave koja ima u svojem vlasništvu upisanu imovinu upravljati će projektom pet godina od završetka investicije što je i dužan  temeljem Odluke Gradskog vijeća (Sl. glasnik 2-2014.) o načinu upravljanja i održavanju objekata u javnoj funkciji, a time je ujedno zadovoljen i uvjeti iz članka 20 stavak (9) </w:t>
            </w:r>
            <w:r w:rsidRPr="00262B9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Pravilnika o provedbi mjere 07 »temeljne usluge i obnova sela u ruralnim područjima« iz programa ruralnog razvoja republike hrvatske za razdoblje 2014. – 2020.. </w:t>
            </w:r>
          </w:p>
          <w:p w14:paraId="61C02CEF" w14:textId="77777777" w:rsidR="00262B9A" w:rsidRPr="00262B9A" w:rsidRDefault="00262B9A" w:rsidP="00262B9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62B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Odluka propisuje: </w:t>
            </w:r>
          </w:p>
          <w:p w14:paraId="2488C9E2" w14:textId="77777777" w:rsidR="00262B9A" w:rsidRPr="00262B9A" w:rsidRDefault="00262B9A" w:rsidP="00262B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B9A">
              <w:rPr>
                <w:rFonts w:ascii="Times New Roman" w:hAnsi="Times New Roman" w:cs="Times New Roman"/>
                <w:i/>
                <w:sz w:val="24"/>
                <w:szCs w:val="24"/>
              </w:rPr>
              <w:t>- Članak 1.  uređuje način upravljanja i održavanja objekata u javnoj funkciji koji se nalaze na području Grada Ivanić-Grada, te se utvrđuju objekti u javnoj funkciji na području Grada Ivanić-Grada.</w:t>
            </w:r>
          </w:p>
          <w:p w14:paraId="2EB59CA6" w14:textId="77777777" w:rsidR="00262B9A" w:rsidRPr="00262B9A" w:rsidRDefault="00262B9A" w:rsidP="00262B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B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Članak 2. Objektima u javnoj funkciji u smislu Odluke smatraju se: </w:t>
            </w:r>
          </w:p>
          <w:p w14:paraId="084752F7" w14:textId="77777777" w:rsidR="00262B9A" w:rsidRPr="00262B9A" w:rsidRDefault="00262B9A" w:rsidP="00262B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B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nekretnine u vlasništvu Grada Ivanić-Grada koje se koriste za obavljanje općih i javnih poslova Grada Ivanić-Grada, trgovačkih društava u kojima Grad Ivanić-Grad ima udjele, ustanova kojih je Grad Ivanić-Grad osnivač i po svojoj naravi su u službi građanima; </w:t>
            </w:r>
          </w:p>
          <w:p w14:paraId="33468C39" w14:textId="77777777" w:rsidR="00262B9A" w:rsidRPr="00262B9A" w:rsidRDefault="00262B9A" w:rsidP="00262B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B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društveni domovi koji su nekretnine u vlasništvu Grada Ivanić-Grada namijenjene prvenstveno za potrebe održavanja zborova građana mjesnih odbora, za provedbu izbora, referenduma, organiziranje izbornih mjesta, sastanaka i skupova političkih stranaka, udruga građana, probe i vježbe KUD-ova, za ostale potrebe mjesnih odbora na čijem području se nalaze te za ostale kulturne, društvene, rekreativne, sportske i ostale potrebe koje su od značaja za mjesni odbor i Grad Ivanić-Grad u cjelini te objekti koji se nalaze uz društvene domove i izjednačeni su s istima; </w:t>
            </w:r>
          </w:p>
          <w:p w14:paraId="347E2CEA" w14:textId="77777777" w:rsidR="00262B9A" w:rsidRPr="00262B9A" w:rsidRDefault="00262B9A" w:rsidP="00262B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B9A">
              <w:rPr>
                <w:rFonts w:ascii="Times New Roman" w:hAnsi="Times New Roman" w:cs="Times New Roman"/>
                <w:i/>
                <w:sz w:val="24"/>
                <w:szCs w:val="24"/>
              </w:rPr>
              <w:t>- sportski objekti koji su nekretnine (građevine) u vlasništvu Grada Ivanić-Grada te se trajno koriste u izvođenju programa javnih potreba u sportu, a sportskim građevinama smatraju se uređene i opremljene površine i građevine u kojima se provode sportske aktivnosti.</w:t>
            </w:r>
          </w:p>
          <w:p w14:paraId="678DEE6A" w14:textId="77777777" w:rsidR="00262B9A" w:rsidRPr="00262B9A" w:rsidRDefault="00262B9A" w:rsidP="00262B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B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Članak 3. Poslovi tekućeg održavanja objekata u javnoj funkciji obavljaju se kao komunalna djelatnost u skladu s posebnom Odlukom Gradskog vijeća Grada Ivanić-Grada. Poslove iz prethodnog stavka obavlja trgovačko društvo Komunalni centar Ivanić-Grad </w:t>
            </w:r>
            <w:proofErr w:type="spellStart"/>
            <w:r w:rsidRPr="00262B9A">
              <w:rPr>
                <w:rFonts w:ascii="Times New Roman" w:hAnsi="Times New Roman" w:cs="Times New Roman"/>
                <w:i/>
                <w:sz w:val="24"/>
                <w:szCs w:val="24"/>
              </w:rPr>
              <w:t>d.o.o</w:t>
            </w:r>
            <w:proofErr w:type="spellEnd"/>
            <w:r w:rsidRPr="00262B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Ivanić-Grad, temeljem posebnog ugovora kojim će se regulirati obujam poslova broj 2/2014. Grad Ivanić-Grad (strana 49) održavanja objekata. </w:t>
            </w:r>
          </w:p>
          <w:p w14:paraId="4B003771" w14:textId="77777777" w:rsidR="00262B9A" w:rsidRPr="00262B9A" w:rsidRDefault="00262B9A" w:rsidP="00262B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25BC935" w14:textId="77777777" w:rsidR="00262B9A" w:rsidRPr="00262B9A" w:rsidRDefault="00262B9A" w:rsidP="00262B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B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Komunalno održavanje i upravljanje projekta odnosno infrastrukture i opreme koja je predmet investicije ovog projekta obavljati će Gradsko poduzeće </w:t>
            </w:r>
            <w:r w:rsidRPr="00262B9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KOMUNALNI CENTAR IVANIĆ – GRAD d.o.o.</w:t>
            </w:r>
            <w:r w:rsidRPr="00262B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Komunalni centar Ivanić-Grad d.o.o. registriran je za obavljanje komunalnih i drugih usluga, trgovinu, graditeljstvo i upravljanje nekretninama sa sjedištem u Ivanić-Gradu, Moslavačka 13, upisan u registru Trgovačkog suda u Zagrebu MBS 080719014, OIB 77038075724 (osnivački akt Izjava o osnivanju d.o.o. od 16.12.2009. g.). </w:t>
            </w:r>
          </w:p>
          <w:p w14:paraId="7642EA51" w14:textId="77777777" w:rsidR="00262B9A" w:rsidRPr="00262B9A" w:rsidRDefault="00262B9A" w:rsidP="00262B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2B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Društvo uz Upravu ima tri ustrojstvene jedinice i to:  sektor financija, računovodstva i administracije,  uprava groblja i sektor održavanja. Održava sve gradske površine, javnu rasvjetu, parkirališta, trgove, te će shodno tome u periodu od pet godina nakon provedbe projekta vršiti održavanje ovog projekta. U financijskim planovima poduzeća planirana su sredstva za održavanje  komunalne infrastrukture. </w:t>
            </w:r>
          </w:p>
          <w:p w14:paraId="476A2B29" w14:textId="77777777" w:rsidR="00C3008C" w:rsidRDefault="00C3008C" w:rsidP="00B21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88A854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E9B80" w14:textId="77777777" w:rsidR="00B31E8C" w:rsidRDefault="00B31E8C" w:rsidP="00B31E8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OSTVARIVANJE NETO PRIHODA</w:t>
      </w:r>
    </w:p>
    <w:p w14:paraId="42903014" w14:textId="7C9F760C" w:rsidR="00D37AA5" w:rsidRDefault="00B31E8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8C">
        <w:rPr>
          <w:rFonts w:ascii="Times New Roman" w:hAnsi="Times New Roman" w:cs="Times New Roman"/>
          <w:i/>
          <w:sz w:val="24"/>
          <w:szCs w:val="24"/>
        </w:rPr>
        <w:t>(</w:t>
      </w:r>
      <w:r w:rsidR="00D37AA5">
        <w:rPr>
          <w:rFonts w:ascii="Times New Roman" w:hAnsi="Times New Roman" w:cs="Times New Roman"/>
          <w:i/>
          <w:sz w:val="24"/>
          <w:szCs w:val="24"/>
        </w:rPr>
        <w:t>A</w:t>
      </w:r>
      <w:r w:rsidRPr="00B31E8C">
        <w:rPr>
          <w:rFonts w:ascii="Times New Roman" w:hAnsi="Times New Roman" w:cs="Times New Roman"/>
          <w:i/>
          <w:sz w:val="24"/>
          <w:szCs w:val="24"/>
        </w:rPr>
        <w:t xml:space="preserve">ko se administrativnom kontrolom utvrdi da projekt nakon dovršetka ostvaruje neto prihod, iznos potpore će se umanjiti za diskontirani neto prihod koji projekt ostvaruje u referentnom razdoblju </w:t>
      </w:r>
      <w:r w:rsidRPr="00EF0E5A">
        <w:rPr>
          <w:rFonts w:ascii="Times New Roman" w:hAnsi="Times New Roman" w:cs="Times New Roman"/>
          <w:i/>
          <w:sz w:val="24"/>
          <w:szCs w:val="24"/>
        </w:rPr>
        <w:t>od 10 godina</w:t>
      </w:r>
      <w:r w:rsidR="00D37AA5" w:rsidRPr="00EF0E5A">
        <w:rPr>
          <w:rFonts w:ascii="Times New Roman" w:hAnsi="Times New Roman" w:cs="Times New Roman"/>
          <w:i/>
          <w:sz w:val="24"/>
          <w:szCs w:val="24"/>
        </w:rPr>
        <w:t>.</w:t>
      </w:r>
    </w:p>
    <w:p w14:paraId="30913A0C" w14:textId="77777777" w:rsidR="00B31E8C" w:rsidRPr="00D37AA5" w:rsidRDefault="007E2A0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>Za izračun neto prihoda u referentnom razdoblju potrebno je popuniti Predložak za izračun neto prihoda.</w:t>
      </w:r>
    </w:p>
    <w:p w14:paraId="4E6C9C79" w14:textId="69373CD7" w:rsidR="00D37AA5" w:rsidRPr="00D37AA5" w:rsidRDefault="007E2A0C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Predložak se preuzima sa </w:t>
      </w:r>
      <w:r w:rsidR="00907882">
        <w:rPr>
          <w:rFonts w:ascii="Times New Roman" w:hAnsi="Times New Roman" w:cs="Times New Roman"/>
          <w:i/>
          <w:sz w:val="24"/>
          <w:szCs w:val="24"/>
        </w:rPr>
        <w:t xml:space="preserve">mrežne </w:t>
      </w:r>
      <w:r w:rsidRPr="00D37AA5">
        <w:rPr>
          <w:rFonts w:ascii="Times New Roman" w:hAnsi="Times New Roman" w:cs="Times New Roman"/>
          <w:i/>
          <w:sz w:val="24"/>
          <w:szCs w:val="24"/>
        </w:rPr>
        <w:t>stranice</w:t>
      </w:r>
      <w:r w:rsidR="00BA6741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15" w:history="1">
        <w:r w:rsidR="00BA6741" w:rsidRPr="00207473">
          <w:rPr>
            <w:rStyle w:val="Hiperveza"/>
            <w:rFonts w:ascii="Times New Roman" w:hAnsi="Times New Roman" w:cs="Times New Roman"/>
            <w:sz w:val="24"/>
            <w:szCs w:val="24"/>
          </w:rPr>
          <w:t>www.lag-moslavina.hr</w:t>
        </w:r>
      </w:hyperlink>
      <w:r w:rsidR="00BA6741">
        <w:rPr>
          <w:rFonts w:ascii="Times New Roman" w:hAnsi="Times New Roman" w:cs="Times New Roman"/>
          <w:sz w:val="24"/>
          <w:szCs w:val="24"/>
        </w:rPr>
        <w:t xml:space="preserve">. </w:t>
      </w:r>
      <w:r w:rsidRPr="00D37AA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E52F9E4" w14:textId="598A2583" w:rsidR="00813F0A" w:rsidRDefault="002247D5" w:rsidP="00C3008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object w:dxaOrig="1440" w:dyaOrig="1440" w14:anchorId="3981D1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0;margin-top:0;width:102.65pt;height:66.65pt;z-index:251659264;mso-position-horizontal:left;mso-position-horizontal-relative:text;mso-position-vertical-relative:text">
            <v:imagedata r:id="rId16" o:title=""/>
            <w10:wrap type="square" side="right"/>
          </v:shape>
          <o:OLEObject Type="Embed" ProgID="Excel.Sheet.12" ShapeID="_x0000_s2051" DrawAspect="Icon" ObjectID="_1704111834" r:id="rId17"/>
        </w:object>
      </w:r>
      <w:r w:rsidR="00C3008C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14:paraId="3FF1C193" w14:textId="316ACF9F" w:rsidR="007E2A0C" w:rsidRPr="008A64B2" w:rsidRDefault="00D37AA5" w:rsidP="007E2A0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Ostvaruje li projekt neto prihod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?                 </w:t>
      </w:r>
      <w:r w:rsidR="007E2A0C"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DA / </w:t>
      </w:r>
      <w:r w:rsidR="007E2A0C" w:rsidRPr="00C80AA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NE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89BEECF" w14:textId="0D226A43" w:rsidR="007E2A0C" w:rsidRPr="008A64B2" w:rsidRDefault="007E2A0C" w:rsidP="007E2A0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="00BA6741">
        <w:rPr>
          <w:rFonts w:ascii="Times New Roman" w:eastAsia="Calibri" w:hAnsi="Times New Roman" w:cs="Times New Roman"/>
          <w:i/>
          <w:iCs/>
          <w:sz w:val="24"/>
          <w:szCs w:val="24"/>
        </w:rPr>
        <w:t>Podcrtati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odgovor koji je primjenjiv za projekt)</w:t>
      </w:r>
    </w:p>
    <w:p w14:paraId="51253CD6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9BBC14" w14:textId="77777777" w:rsidR="004D4B20" w:rsidRDefault="004D4B2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Tablica izračuna neto prihoda</w:t>
      </w:r>
    </w:p>
    <w:p w14:paraId="1D8B190B" w14:textId="190F5C77" w:rsidR="004D4B20" w:rsidRDefault="004D4B20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ulijepiti popunjenu Tablicu </w:t>
      </w:r>
      <w:r w:rsidRPr="004D4B2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izračuna neto prihoda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647E99EC" w14:textId="77777777" w:rsidR="00883EB9" w:rsidRDefault="00883EB9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940455" w14:textId="77E54B25" w:rsidR="00B63AB7" w:rsidRPr="008A64B2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. USKLAĐENOST PROJEKTA S LOKALNOM RAZVOJNOM STRATEGIJOM ODABRANOG LAG-a</w:t>
      </w:r>
    </w:p>
    <w:p w14:paraId="71770F10" w14:textId="71150ADE" w:rsidR="00F16C24" w:rsidRPr="008A64B2" w:rsidRDefault="00F16C24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 i prioritet iz lokalne razvojne strategije LAG-</w:t>
      </w:r>
      <w:r w:rsidR="00A50F0D">
        <w:rPr>
          <w:rFonts w:ascii="Times New Roman" w:hAnsi="Times New Roman" w:cs="Times New Roman"/>
          <w:i/>
          <w:sz w:val="24"/>
          <w:szCs w:val="24"/>
        </w:rPr>
        <w:t xml:space="preserve"> „Moslavina“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, a iz kojih je vidljivo da je projekt u skladu </w:t>
      </w:r>
      <w:r w:rsidR="002D29AB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>lokalnom razvojnom strategijom odabranog LAG-a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; navesti broj poglavlja/stranice u kojem se navodi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 xml:space="preserve">spomenuti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>cilj i prioritet</w:t>
      </w:r>
      <w:r w:rsidR="002D29AB">
        <w:rPr>
          <w:rFonts w:ascii="Times New Roman" w:hAnsi="Times New Roman" w:cs="Times New Roman"/>
          <w:i/>
          <w:sz w:val="24"/>
          <w:szCs w:val="24"/>
        </w:rPr>
        <w:t xml:space="preserve"> iz LRS</w:t>
      </w:r>
      <w:r w:rsidR="00C97743">
        <w:rPr>
          <w:rFonts w:ascii="Times New Roman" w:hAnsi="Times New Roman" w:cs="Times New Roman"/>
          <w:i/>
          <w:sz w:val="24"/>
          <w:szCs w:val="24"/>
        </w:rPr>
        <w:t>; opišite usklađenost projekta s LRS</w:t>
      </w:r>
      <w:r w:rsidR="00F3307E"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02"/>
      </w:tblGrid>
      <w:tr w:rsidR="00A50F0D" w14:paraId="3BB3E9B9" w14:textId="77777777" w:rsidTr="00F50AF9">
        <w:trPr>
          <w:trHeight w:val="6010"/>
        </w:trPr>
        <w:tc>
          <w:tcPr>
            <w:tcW w:w="9402" w:type="dxa"/>
          </w:tcPr>
          <w:p w14:paraId="49333103" w14:textId="77777777" w:rsidR="00F50AF9" w:rsidRPr="00F50AF9" w:rsidRDefault="00F50AF9" w:rsidP="00F50AF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0A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Projekt je usklađen s </w:t>
            </w:r>
            <w:r w:rsidRPr="00F50A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50AF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Lokalnom razvojnom strategijom Lokalne akcijske grupe „Moslavina“ 2014-2020</w:t>
            </w:r>
            <w:r w:rsidRPr="00F50AF9">
              <w:rPr>
                <w:rFonts w:ascii="Times New Roman" w:hAnsi="Times New Roman" w:cs="Times New Roman"/>
                <w:i/>
                <w:sz w:val="24"/>
                <w:szCs w:val="24"/>
              </w:rPr>
              <w:t>, što je vidljivo u točki 4. OPIS CILJEVA LRS TE INTEGRIRANOG I INOVATIVNOG KARAKTERA LRS UKLJUČUJUĆI JASNE I MJERLJIVE POKAZATELJE ZA IZLAZNE POKAZATELJE ILI REZULTATE, tematski cilj SC2 Razvoj revitalizacije i održivog korištenja razvojne resursne osnove s jačanjem CLLD pristupa lokalnom razvoju kroz mjeru M2.1.</w:t>
            </w:r>
            <w:r w:rsidRPr="00F50AF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footnoteReference w:id="1"/>
            </w:r>
            <w:r w:rsidRPr="00F50A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Link na mrežnu stranicu: https://search.yahoo.com/yhs/search;_ylt=AwrEwFX8QolbW2MASksPxQt.;_ylc=X1MDMjExNDcwMDU1OQRfcgMyBGZyA3locy1sdnMtYXdjBGdwcmlkA2dMSzg3MHdBVGQueFpib2pTNVJmMEEEbl9yc2x0AzAEbl9zdWdnAzQEb3JpZ2luA3NlYXJjaC55YWhvby5jb20EcG9zAzAEcHFzdHIDBHBxc3RybAMwBHFzdHJsAzU2BHF1ZXJ5A3N0cmF0ZWdpamElMjByYXp2b2phJTIwbGFnJTIwbW9zbGF2aW5hJTIwMjAxNCUyMC0lMjAyMDIwBHRfc3RtcAMxNTM1NzIyMzAy?p=strategija+razvoja+lag+moslavina+2014+-+2020&amp;fr2=sb-top&amp;hspart=lvs&amp;hsimp=yhs-awc&amp;type=lvs__webcompa__1_0__ya__ch_WCYID10041_spdf_opdfs_all_b_merge_180604__yaff</w:t>
            </w:r>
          </w:p>
          <w:p w14:paraId="4BEC1AE7" w14:textId="77777777" w:rsidR="00F50AF9" w:rsidRPr="00F50AF9" w:rsidRDefault="00F50AF9" w:rsidP="00F50AF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0AF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en-US"/>
              </w:rPr>
              <w:drawing>
                <wp:inline distT="0" distB="0" distL="0" distR="0" wp14:anchorId="3BD0EF74" wp14:editId="597EFF52">
                  <wp:extent cx="5976620" cy="1001395"/>
                  <wp:effectExtent l="0" t="0" r="5080" b="8255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6620" cy="1001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416B07" w14:textId="77777777" w:rsidR="00A50F0D" w:rsidRDefault="00A50F0D" w:rsidP="00A7178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6D8D96F6" w14:textId="2B4ED74D" w:rsidR="00A50F0D" w:rsidRDefault="00F50AF9">
      <w:pPr>
        <w:rPr>
          <w:rFonts w:ascii="Times New Roman" w:hAnsi="Times New Roman" w:cs="Times New Roman"/>
          <w:b/>
          <w:sz w:val="24"/>
          <w:szCs w:val="24"/>
        </w:rPr>
      </w:pPr>
      <w:r w:rsidRPr="00F50AF9">
        <w:rPr>
          <w:rFonts w:ascii="Times New Roman" w:hAnsi="Times New Roman" w:cs="Times New Roman"/>
          <w:sz w:val="24"/>
          <w:szCs w:val="24"/>
        </w:rPr>
        <w:lastRenderedPageBreak/>
        <w:t xml:space="preserve">U </w:t>
      </w:r>
      <w:r w:rsidRPr="00F50AF9">
        <w:rPr>
          <w:rFonts w:ascii="Times New Roman" w:hAnsi="Times New Roman" w:cs="Times New Roman"/>
          <w:i/>
          <w:sz w:val="24"/>
          <w:szCs w:val="24"/>
        </w:rPr>
        <w:t xml:space="preserve">Glavnom projektu </w:t>
      </w:r>
      <w:r>
        <w:rPr>
          <w:rFonts w:ascii="Times New Roman" w:hAnsi="Times New Roman" w:cs="Times New Roman"/>
          <w:sz w:val="24"/>
          <w:szCs w:val="24"/>
        </w:rPr>
        <w:t>Izgradnje Sportskog igrališta u Dubrovčaku Lijevom</w:t>
      </w:r>
      <w:r w:rsidRPr="00F50AF9">
        <w:rPr>
          <w:rFonts w:ascii="Times New Roman" w:hAnsi="Times New Roman" w:cs="Times New Roman"/>
          <w:sz w:val="24"/>
          <w:szCs w:val="24"/>
        </w:rPr>
        <w:t xml:space="preserve"> dana je </w:t>
      </w:r>
      <w:r w:rsidRPr="00F50AF9">
        <w:rPr>
          <w:rFonts w:ascii="Times New Roman" w:hAnsi="Times New Roman" w:cs="Times New Roman"/>
          <w:bCs/>
          <w:sz w:val="24"/>
          <w:szCs w:val="24"/>
        </w:rPr>
        <w:t>Izjava projektanta o usklađenosti projekta sa dokumentom prostornog uređenja, te odredbama posebnih zakona i drugih propisa.</w:t>
      </w:r>
    </w:p>
    <w:p w14:paraId="77952F95" w14:textId="303EA004" w:rsidR="00670EE3" w:rsidRPr="008A64B2" w:rsidRDefault="008510D7" w:rsidP="00C977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</w:t>
      </w:r>
      <w:r w:rsidR="004D4B20">
        <w:rPr>
          <w:rFonts w:ascii="Times New Roman" w:hAnsi="Times New Roman" w:cs="Times New Roman"/>
          <w:b/>
          <w:sz w:val="24"/>
          <w:szCs w:val="24"/>
        </w:rPr>
        <w:t>1</w:t>
      </w:r>
      <w:r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C45608">
        <w:rPr>
          <w:rFonts w:ascii="Times New Roman" w:hAnsi="Times New Roman" w:cs="Times New Roman"/>
          <w:b/>
          <w:sz w:val="24"/>
          <w:szCs w:val="24"/>
        </w:rPr>
        <w:t xml:space="preserve"> IZJAVA NOSITELJA PROJEKTA</w:t>
      </w:r>
      <w:r w:rsidR="00670EE3" w:rsidRPr="008A64B2">
        <w:rPr>
          <w:rFonts w:ascii="Times New Roman" w:hAnsi="Times New Roman" w:cs="Times New Roman"/>
          <w:b/>
          <w:sz w:val="24"/>
          <w:szCs w:val="24"/>
        </w:rPr>
        <w:t xml:space="preserve"> O DOSTUPNOSTI ULAGANJA LOKALNOM STANOVNIŠTVU I RAZLIČITIM INTERESNIM SKUPINAMA</w:t>
      </w:r>
    </w:p>
    <w:p w14:paraId="4C421063" w14:textId="77777777"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7B82BA" w14:textId="77777777" w:rsidR="00670EE3" w:rsidRPr="00C97743" w:rsidRDefault="00670EE3" w:rsidP="00D875C8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Pojašnjenje:</w:t>
      </w:r>
    </w:p>
    <w:p w14:paraId="2652EE77" w14:textId="2E514A70" w:rsidR="00670EE3" w:rsidRPr="00C97743" w:rsidRDefault="002A7962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Davatelj Izjave je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1A7A76" w:rsidRPr="00C97743">
        <w:rPr>
          <w:rFonts w:ascii="Times New Roman" w:hAnsi="Times New Roman" w:cs="Times New Roman"/>
          <w:i/>
          <w:sz w:val="24"/>
          <w:szCs w:val="24"/>
        </w:rPr>
        <w:t>/</w:t>
      </w:r>
      <w:r w:rsidRPr="00C97743">
        <w:rPr>
          <w:rFonts w:ascii="Times New Roman" w:hAnsi="Times New Roman" w:cs="Times New Roman"/>
          <w:i/>
          <w:sz w:val="24"/>
          <w:szCs w:val="24"/>
        </w:rPr>
        <w:t>podnositelj p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rijave projekta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 xml:space="preserve"> za</w:t>
      </w:r>
      <w:r w:rsidR="00A50F0D" w:rsidRPr="00A50F0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50F0D" w:rsidRPr="00C44920">
        <w:rPr>
          <w:rFonts w:ascii="Times New Roman" w:hAnsi="Times New Roman" w:cs="Times New Roman"/>
          <w:i/>
          <w:sz w:val="24"/>
          <w:szCs w:val="24"/>
        </w:rPr>
        <w:t>TO 2.1.1 „Razvoj opće društvene infrastrukture u svrhu podizanja kvalitete života stanovnika LAG-a</w:t>
      </w:r>
      <w:r w:rsidR="00A50F0D">
        <w:rPr>
          <w:rFonts w:ascii="Times New Roman" w:hAnsi="Times New Roman" w:cs="Times New Roman"/>
          <w:i/>
          <w:sz w:val="24"/>
          <w:szCs w:val="24"/>
        </w:rPr>
        <w:t>“</w:t>
      </w:r>
    </w:p>
    <w:p w14:paraId="56931D5A" w14:textId="01706BF0" w:rsidR="00670EE3" w:rsidRPr="00C97743" w:rsidRDefault="002A7962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 xml:space="preserve"> se treba u Izjavi obvezati </w:t>
      </w:r>
      <w:r w:rsidR="001E0A3C" w:rsidRPr="00C97743">
        <w:rPr>
          <w:rFonts w:ascii="Times New Roman" w:hAnsi="Times New Roman" w:cs="Times New Roman"/>
          <w:i/>
          <w:sz w:val="24"/>
          <w:szCs w:val="24"/>
        </w:rPr>
        <w:t xml:space="preserve">te treba 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>izjaviti da će planirano ulaganje biti dostupno lokalnom stanovništvu i različitim interesnim skupinama.</w:t>
      </w:r>
    </w:p>
    <w:p w14:paraId="64D9E288" w14:textId="77777777" w:rsidR="00670EE3" w:rsidRPr="00C97743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U Izjavi je potrebno nabrojiti interesne skupine krajnje korisnike projekta/operacije.</w:t>
      </w:r>
    </w:p>
    <w:p w14:paraId="15D45745" w14:textId="1B0F92A3" w:rsidR="00670EE3" w:rsidRPr="00C97743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Izjava mora biti potpisan</w:t>
      </w:r>
      <w:r w:rsidR="002A7962" w:rsidRPr="00C97743">
        <w:rPr>
          <w:rFonts w:ascii="Times New Roman" w:hAnsi="Times New Roman" w:cs="Times New Roman"/>
          <w:i/>
          <w:sz w:val="24"/>
          <w:szCs w:val="24"/>
        </w:rPr>
        <w:t>a i ovjerena od strane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2E321A" w:rsidRPr="00C97743">
        <w:rPr>
          <w:rFonts w:ascii="Times New Roman" w:hAnsi="Times New Roman" w:cs="Times New Roman"/>
          <w:i/>
          <w:sz w:val="24"/>
          <w:szCs w:val="24"/>
        </w:rPr>
        <w:t>.</w:t>
      </w:r>
    </w:p>
    <w:p w14:paraId="0E24C012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02"/>
      </w:tblGrid>
      <w:tr w:rsidR="00A50F0D" w14:paraId="4F0DFA91" w14:textId="77777777" w:rsidTr="00180ED2">
        <w:trPr>
          <w:trHeight w:val="4788"/>
        </w:trPr>
        <w:tc>
          <w:tcPr>
            <w:tcW w:w="9628" w:type="dxa"/>
          </w:tcPr>
          <w:p w14:paraId="256F1D9A" w14:textId="420F0E92" w:rsidR="001D20A1" w:rsidRPr="001D20A1" w:rsidRDefault="001D20A1" w:rsidP="001D20A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Ja, Javor Bojan Leš, </w:t>
            </w:r>
            <w:proofErr w:type="spellStart"/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dr.vet.med</w:t>
            </w:r>
            <w:proofErr w:type="spellEnd"/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., kao odgovorna osoba na položaju  Gradonačelnika Grada Ivanić-Grada, pod kaznenom i materijalnom odgovornošću dajem IZJAVU i obvezujem se da će Grad Ivanić – Grad kao korisnik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 </w:t>
            </w:r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podnositelj Zahtjeva za TO 2.1.1 „Razvoj opće društvene infrastrukture u svrhu podizanja kvalitete života stanovnika LAG-a“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osigurati sve potrebne uvjete te da će planirano ulaganje biti dostupno lokalnom stanovništvu odnosno različitim interesnim skupinama, posebice stanovnicima naselja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Dubrovčak lijevi</w:t>
            </w:r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te svim interesnim skupinama bez ikakve naknade ili naplate usluga. Predmetno ulaganje i svi rezultati proizašli iz projekta biti će namijenjeni javnoj upotrebi/korištenju i javno dostupni stanovništvu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Dubrovčaka Lijevog</w:t>
            </w:r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  područja Ivanić- Grada,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 </w:t>
            </w:r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prije svega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mlađoj populaciji, udruženjima i</w:t>
            </w:r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organizacijama, turističkim organizacijama, kulturnim institucijama,  civilnim društvima, i posjetiteljima / turistima u svrhu povećanja kvalitete života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u Dubrovčaku Lijevom,</w:t>
            </w:r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aktivacije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društvenog života</w:t>
            </w:r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u ruralnim područjima. Infrastruktura će biti dostupna zainteresiranim korisnicima na otvorenoj, transparentnoj i ne diskriminirajućoj osnovi. </w:t>
            </w:r>
          </w:p>
          <w:p w14:paraId="32CF524C" w14:textId="77777777" w:rsidR="001D20A1" w:rsidRPr="001D20A1" w:rsidRDefault="001D20A1" w:rsidP="001D20A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694EDAC" w14:textId="77777777" w:rsidR="001D20A1" w:rsidRPr="001D20A1" w:rsidRDefault="001D20A1" w:rsidP="001D20A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A6EC4F0" w14:textId="77777777" w:rsidR="001D20A1" w:rsidRPr="001D20A1" w:rsidRDefault="001D20A1" w:rsidP="001D20A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68602C7" w14:textId="77777777" w:rsidR="001D20A1" w:rsidRPr="001D20A1" w:rsidRDefault="001D20A1" w:rsidP="001D20A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C5EE1ED" w14:textId="3E962147" w:rsidR="00A50F0D" w:rsidRDefault="001D20A1" w:rsidP="00180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  <w:r w:rsidRPr="001D20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</w:p>
        </w:tc>
      </w:tr>
    </w:tbl>
    <w:p w14:paraId="48843150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64B823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F8C3AC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7776BA" w14:textId="67A3A468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Datum: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="00FC03CA">
        <w:rPr>
          <w:rFonts w:ascii="Times New Roman" w:hAnsi="Times New Roman" w:cs="Times New Roman"/>
          <w:sz w:val="24"/>
          <w:szCs w:val="24"/>
        </w:rPr>
        <w:t xml:space="preserve"> </w:t>
      </w:r>
      <w:r w:rsidRPr="008A64B2">
        <w:rPr>
          <w:rFonts w:ascii="Times New Roman" w:hAnsi="Times New Roman" w:cs="Times New Roman"/>
          <w:sz w:val="24"/>
          <w:szCs w:val="24"/>
        </w:rPr>
        <w:t>Potpis i pečat:</w:t>
      </w:r>
    </w:p>
    <w:p w14:paraId="47ADFB38" w14:textId="77777777" w:rsidR="002247D5" w:rsidRDefault="002247D5" w:rsidP="002247D5">
      <w:pPr>
        <w:pStyle w:val="Bezproreda"/>
      </w:pPr>
    </w:p>
    <w:p w14:paraId="387334EB" w14:textId="2B71CC0E" w:rsidR="002E321A" w:rsidRPr="008A64B2" w:rsidRDefault="002C1F33" w:rsidP="001A6DBB">
      <w:pPr>
        <w:jc w:val="both"/>
        <w:rPr>
          <w:rFonts w:ascii="Times New Roman" w:hAnsi="Times New Roman" w:cs="Times New Roman"/>
          <w:sz w:val="24"/>
          <w:szCs w:val="24"/>
        </w:rPr>
      </w:pPr>
      <w:r w:rsidRPr="001D20A1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2C1F33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2247D5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2C1F33">
        <w:rPr>
          <w:rFonts w:ascii="Times New Roman" w:hAnsi="Times New Roman" w:cs="Times New Roman"/>
          <w:i/>
          <w:iCs/>
          <w:sz w:val="24"/>
          <w:szCs w:val="24"/>
        </w:rPr>
        <w:t>01</w:t>
      </w:r>
      <w:r w:rsidRPr="001D20A1">
        <w:rPr>
          <w:rFonts w:ascii="Times New Roman" w:hAnsi="Times New Roman" w:cs="Times New Roman"/>
          <w:i/>
          <w:iCs/>
          <w:sz w:val="24"/>
          <w:szCs w:val="24"/>
        </w:rPr>
        <w:t>.202</w:t>
      </w:r>
      <w:r w:rsidRPr="002C1F33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1D20A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2E321A" w:rsidRPr="008A64B2">
        <w:rPr>
          <w:rFonts w:ascii="Times New Roman" w:hAnsi="Times New Roman" w:cs="Times New Roman"/>
          <w:sz w:val="24"/>
          <w:szCs w:val="24"/>
        </w:rPr>
        <w:tab/>
      </w:r>
      <w:r w:rsidR="002E321A" w:rsidRPr="008A64B2">
        <w:rPr>
          <w:rFonts w:ascii="Times New Roman" w:hAnsi="Times New Roman" w:cs="Times New Roman"/>
          <w:sz w:val="24"/>
          <w:szCs w:val="24"/>
        </w:rPr>
        <w:tab/>
      </w:r>
      <w:r w:rsidR="002E321A" w:rsidRPr="008A64B2">
        <w:rPr>
          <w:rFonts w:ascii="Times New Roman" w:hAnsi="Times New Roman" w:cs="Times New Roman"/>
          <w:sz w:val="24"/>
          <w:szCs w:val="24"/>
        </w:rPr>
        <w:tab/>
      </w:r>
      <w:r w:rsidR="002E321A" w:rsidRPr="008A64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171A1C"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2E321A" w:rsidRPr="008A64B2" w:rsidSect="008E2C1A">
      <w:headerReference w:type="default" r:id="rId19"/>
      <w:footerReference w:type="default" r:id="rId20"/>
      <w:pgSz w:w="11906" w:h="16838"/>
      <w:pgMar w:top="1247" w:right="1247" w:bottom="1247" w:left="1247" w:header="709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EECB9" w14:textId="77777777" w:rsidR="00B9797E" w:rsidRDefault="00B9797E" w:rsidP="004F23D4">
      <w:pPr>
        <w:spacing w:after="0" w:line="240" w:lineRule="auto"/>
      </w:pPr>
      <w:r>
        <w:separator/>
      </w:r>
    </w:p>
  </w:endnote>
  <w:endnote w:type="continuationSeparator" w:id="0">
    <w:p w14:paraId="37D69025" w14:textId="77777777" w:rsidR="00B9797E" w:rsidRDefault="00B9797E" w:rsidP="004F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50922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13210BF" w14:textId="3706B814" w:rsidR="00FE0D33" w:rsidRPr="00581E44" w:rsidRDefault="00FE0D33">
            <w:pPr>
              <w:pStyle w:val="Podnoje"/>
              <w:jc w:val="right"/>
            </w:pPr>
            <w:r w:rsidRPr="00581E44">
              <w:t xml:space="preserve">str. 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PAGE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216EB5">
              <w:rPr>
                <w:bCs/>
                <w:noProof/>
              </w:rPr>
              <w:t>1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  <w:r w:rsidRPr="0093730F">
              <w:rPr>
                <w:bCs/>
                <w:sz w:val="24"/>
                <w:szCs w:val="24"/>
              </w:rPr>
              <w:t>/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NUMPAGES 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216EB5">
              <w:rPr>
                <w:bCs/>
                <w:noProof/>
              </w:rPr>
              <w:t>13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B9330D" w14:textId="77777777" w:rsidR="00FE0D33" w:rsidRDefault="00FE0D3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0AE9A" w14:textId="77777777" w:rsidR="00B9797E" w:rsidRDefault="00B9797E" w:rsidP="004F23D4">
      <w:pPr>
        <w:spacing w:after="0" w:line="240" w:lineRule="auto"/>
      </w:pPr>
      <w:r>
        <w:separator/>
      </w:r>
    </w:p>
  </w:footnote>
  <w:footnote w:type="continuationSeparator" w:id="0">
    <w:p w14:paraId="563E56C4" w14:textId="77777777" w:rsidR="00B9797E" w:rsidRDefault="00B9797E" w:rsidP="004F23D4">
      <w:pPr>
        <w:spacing w:after="0" w:line="240" w:lineRule="auto"/>
      </w:pPr>
      <w:r>
        <w:continuationSeparator/>
      </w:r>
    </w:p>
  </w:footnote>
  <w:footnote w:id="1">
    <w:p w14:paraId="7815BFE2" w14:textId="77777777" w:rsidR="00F50AF9" w:rsidRPr="00661A4B" w:rsidRDefault="00F50AF9" w:rsidP="00F50AF9">
      <w:pPr>
        <w:pStyle w:val="Default"/>
        <w:rPr>
          <w:rFonts w:asciiTheme="minorHAnsi" w:hAnsiTheme="minorHAnsi"/>
          <w:sz w:val="16"/>
          <w:szCs w:val="16"/>
        </w:rPr>
      </w:pPr>
      <w:r w:rsidRPr="00661A4B">
        <w:rPr>
          <w:rStyle w:val="Referencafusnote"/>
          <w:rFonts w:asciiTheme="minorHAnsi" w:hAnsiTheme="minorHAnsi"/>
          <w:sz w:val="16"/>
          <w:szCs w:val="16"/>
        </w:rPr>
        <w:footnoteRef/>
      </w:r>
      <w:r w:rsidRPr="00661A4B">
        <w:rPr>
          <w:rFonts w:asciiTheme="minorHAnsi" w:hAnsiTheme="minorHAnsi"/>
          <w:sz w:val="16"/>
          <w:szCs w:val="16"/>
        </w:rPr>
        <w:t xml:space="preserve">  </w:t>
      </w:r>
      <w:r w:rsidRPr="00661A4B">
        <w:rPr>
          <w:rFonts w:asciiTheme="minorHAnsi" w:hAnsiTheme="minorHAnsi"/>
          <w:bCs/>
          <w:sz w:val="16"/>
          <w:szCs w:val="16"/>
        </w:rPr>
        <w:t xml:space="preserve">Lokalna razvojna strategija Lokalne akcijske grupe „Moslavina“ 2014-2020, travanj 2016., strana </w:t>
      </w:r>
      <w:r>
        <w:rPr>
          <w:rFonts w:asciiTheme="minorHAnsi" w:hAnsiTheme="minorHAnsi"/>
          <w:bCs/>
          <w:sz w:val="16"/>
          <w:szCs w:val="16"/>
        </w:rPr>
        <w:t>33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E975" w14:textId="0765C998" w:rsidR="00C35F16" w:rsidRDefault="00C35F16" w:rsidP="00C35F16">
    <w:pPr>
      <w:pStyle w:val="Zaglavlje"/>
      <w:jc w:val="right"/>
    </w:pPr>
    <w:r>
      <w:rPr>
        <w:noProof/>
      </w:rPr>
      <w:drawing>
        <wp:inline distT="0" distB="0" distL="0" distR="0" wp14:anchorId="36CCFC2F" wp14:editId="3E7AC85F">
          <wp:extent cx="1615440" cy="396240"/>
          <wp:effectExtent l="0" t="0" r="3810" b="381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4341C"/>
    <w:multiLevelType w:val="multilevel"/>
    <w:tmpl w:val="C518D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991301"/>
    <w:multiLevelType w:val="hybridMultilevel"/>
    <w:tmpl w:val="01F449BE"/>
    <w:lvl w:ilvl="0" w:tplc="E56C2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07681"/>
    <w:multiLevelType w:val="hybridMultilevel"/>
    <w:tmpl w:val="C542F5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D1381"/>
    <w:multiLevelType w:val="hybridMultilevel"/>
    <w:tmpl w:val="A1B2D292"/>
    <w:lvl w:ilvl="0" w:tplc="6E06532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82C88"/>
    <w:multiLevelType w:val="hybridMultilevel"/>
    <w:tmpl w:val="5B9A7798"/>
    <w:lvl w:ilvl="0" w:tplc="A01E39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B58"/>
    <w:rsid w:val="00001FE1"/>
    <w:rsid w:val="00005752"/>
    <w:rsid w:val="0001195B"/>
    <w:rsid w:val="00011C48"/>
    <w:rsid w:val="00011EA5"/>
    <w:rsid w:val="00020B17"/>
    <w:rsid w:val="00022C3F"/>
    <w:rsid w:val="0003783C"/>
    <w:rsid w:val="000429C5"/>
    <w:rsid w:val="00053729"/>
    <w:rsid w:val="00056FA3"/>
    <w:rsid w:val="000602F4"/>
    <w:rsid w:val="000623D0"/>
    <w:rsid w:val="00081F56"/>
    <w:rsid w:val="00087038"/>
    <w:rsid w:val="000A0334"/>
    <w:rsid w:val="000A5AF4"/>
    <w:rsid w:val="000B0025"/>
    <w:rsid w:val="000C0B66"/>
    <w:rsid w:val="000C30D0"/>
    <w:rsid w:val="000D585D"/>
    <w:rsid w:val="000D76FF"/>
    <w:rsid w:val="00105A7C"/>
    <w:rsid w:val="00110337"/>
    <w:rsid w:val="00124425"/>
    <w:rsid w:val="00153DD0"/>
    <w:rsid w:val="00155A0B"/>
    <w:rsid w:val="0016099E"/>
    <w:rsid w:val="00160B55"/>
    <w:rsid w:val="00162471"/>
    <w:rsid w:val="00163F4B"/>
    <w:rsid w:val="00166728"/>
    <w:rsid w:val="00166C69"/>
    <w:rsid w:val="00171A1C"/>
    <w:rsid w:val="0017350D"/>
    <w:rsid w:val="00175E1F"/>
    <w:rsid w:val="001800EF"/>
    <w:rsid w:val="00180ED2"/>
    <w:rsid w:val="0018232C"/>
    <w:rsid w:val="00187565"/>
    <w:rsid w:val="001A2A9C"/>
    <w:rsid w:val="001A6DBB"/>
    <w:rsid w:val="001A7A76"/>
    <w:rsid w:val="001B2950"/>
    <w:rsid w:val="001B36DD"/>
    <w:rsid w:val="001C0C1D"/>
    <w:rsid w:val="001C793B"/>
    <w:rsid w:val="001D1119"/>
    <w:rsid w:val="001D12F1"/>
    <w:rsid w:val="001D20A1"/>
    <w:rsid w:val="001D4007"/>
    <w:rsid w:val="001E0333"/>
    <w:rsid w:val="001E0A3C"/>
    <w:rsid w:val="001F3AE4"/>
    <w:rsid w:val="00200030"/>
    <w:rsid w:val="002024B9"/>
    <w:rsid w:val="00203D6E"/>
    <w:rsid w:val="002126B6"/>
    <w:rsid w:val="00214AD3"/>
    <w:rsid w:val="00216A3F"/>
    <w:rsid w:val="00216EB5"/>
    <w:rsid w:val="002247D5"/>
    <w:rsid w:val="00231590"/>
    <w:rsid w:val="002320C5"/>
    <w:rsid w:val="00232CBB"/>
    <w:rsid w:val="002369F8"/>
    <w:rsid w:val="00253107"/>
    <w:rsid w:val="002531D6"/>
    <w:rsid w:val="00262B9A"/>
    <w:rsid w:val="0026516F"/>
    <w:rsid w:val="002769D6"/>
    <w:rsid w:val="00277DDB"/>
    <w:rsid w:val="00280542"/>
    <w:rsid w:val="00280706"/>
    <w:rsid w:val="00282ED8"/>
    <w:rsid w:val="002844FF"/>
    <w:rsid w:val="002976FD"/>
    <w:rsid w:val="002A3ACE"/>
    <w:rsid w:val="002A7962"/>
    <w:rsid w:val="002B19EF"/>
    <w:rsid w:val="002B35B0"/>
    <w:rsid w:val="002B69F7"/>
    <w:rsid w:val="002C1B41"/>
    <w:rsid w:val="002C1F33"/>
    <w:rsid w:val="002D29AB"/>
    <w:rsid w:val="002D38DD"/>
    <w:rsid w:val="002D623E"/>
    <w:rsid w:val="002E321A"/>
    <w:rsid w:val="002E7552"/>
    <w:rsid w:val="002E7C27"/>
    <w:rsid w:val="00303651"/>
    <w:rsid w:val="00304B30"/>
    <w:rsid w:val="00305421"/>
    <w:rsid w:val="003075CB"/>
    <w:rsid w:val="00313630"/>
    <w:rsid w:val="00314BF8"/>
    <w:rsid w:val="00321160"/>
    <w:rsid w:val="00326F0D"/>
    <w:rsid w:val="00343F54"/>
    <w:rsid w:val="00373880"/>
    <w:rsid w:val="003830FA"/>
    <w:rsid w:val="00392812"/>
    <w:rsid w:val="00392C89"/>
    <w:rsid w:val="0039318E"/>
    <w:rsid w:val="003938B1"/>
    <w:rsid w:val="003A0EAF"/>
    <w:rsid w:val="003B143F"/>
    <w:rsid w:val="003B5B51"/>
    <w:rsid w:val="003C1851"/>
    <w:rsid w:val="003C66E2"/>
    <w:rsid w:val="003C6BF9"/>
    <w:rsid w:val="003D2798"/>
    <w:rsid w:val="003E2DA2"/>
    <w:rsid w:val="003F4A15"/>
    <w:rsid w:val="003F5787"/>
    <w:rsid w:val="0040085B"/>
    <w:rsid w:val="00413513"/>
    <w:rsid w:val="00431A63"/>
    <w:rsid w:val="00432E59"/>
    <w:rsid w:val="0044051D"/>
    <w:rsid w:val="00443812"/>
    <w:rsid w:val="004522E9"/>
    <w:rsid w:val="00465AA4"/>
    <w:rsid w:val="00476931"/>
    <w:rsid w:val="00492689"/>
    <w:rsid w:val="00492BE8"/>
    <w:rsid w:val="004962AE"/>
    <w:rsid w:val="004A1CE6"/>
    <w:rsid w:val="004B3BF5"/>
    <w:rsid w:val="004B5FB5"/>
    <w:rsid w:val="004C0879"/>
    <w:rsid w:val="004D4B20"/>
    <w:rsid w:val="004D528A"/>
    <w:rsid w:val="004E6CB0"/>
    <w:rsid w:val="004F23D4"/>
    <w:rsid w:val="004F3AD9"/>
    <w:rsid w:val="004F5D3E"/>
    <w:rsid w:val="005006BF"/>
    <w:rsid w:val="005117AE"/>
    <w:rsid w:val="005147C7"/>
    <w:rsid w:val="00517FDA"/>
    <w:rsid w:val="00522966"/>
    <w:rsid w:val="00530424"/>
    <w:rsid w:val="00532B19"/>
    <w:rsid w:val="005468F5"/>
    <w:rsid w:val="00551E3D"/>
    <w:rsid w:val="0056651C"/>
    <w:rsid w:val="00572063"/>
    <w:rsid w:val="00572BBA"/>
    <w:rsid w:val="005810A6"/>
    <w:rsid w:val="00581E44"/>
    <w:rsid w:val="00596076"/>
    <w:rsid w:val="005A3DB8"/>
    <w:rsid w:val="005A46B2"/>
    <w:rsid w:val="005A5617"/>
    <w:rsid w:val="005B03E4"/>
    <w:rsid w:val="005B0AC2"/>
    <w:rsid w:val="005B7629"/>
    <w:rsid w:val="005C0461"/>
    <w:rsid w:val="005C5BA8"/>
    <w:rsid w:val="005E083B"/>
    <w:rsid w:val="005E0BDE"/>
    <w:rsid w:val="005E4A8D"/>
    <w:rsid w:val="005F25FC"/>
    <w:rsid w:val="006227C0"/>
    <w:rsid w:val="00625314"/>
    <w:rsid w:val="00627BB2"/>
    <w:rsid w:val="006505D3"/>
    <w:rsid w:val="00650EB2"/>
    <w:rsid w:val="0065329F"/>
    <w:rsid w:val="00654232"/>
    <w:rsid w:val="006547EA"/>
    <w:rsid w:val="0066427D"/>
    <w:rsid w:val="00670EE3"/>
    <w:rsid w:val="006722C8"/>
    <w:rsid w:val="00672C33"/>
    <w:rsid w:val="006810AF"/>
    <w:rsid w:val="006826A4"/>
    <w:rsid w:val="00684D50"/>
    <w:rsid w:val="006876BC"/>
    <w:rsid w:val="00695BAB"/>
    <w:rsid w:val="006A1B24"/>
    <w:rsid w:val="006A28EF"/>
    <w:rsid w:val="006A597F"/>
    <w:rsid w:val="006A6A1E"/>
    <w:rsid w:val="006A742D"/>
    <w:rsid w:val="006A7F84"/>
    <w:rsid w:val="006B2829"/>
    <w:rsid w:val="006B35D8"/>
    <w:rsid w:val="006B4888"/>
    <w:rsid w:val="006C39EF"/>
    <w:rsid w:val="006C56E8"/>
    <w:rsid w:val="006E1AD7"/>
    <w:rsid w:val="006E4078"/>
    <w:rsid w:val="006F1BB3"/>
    <w:rsid w:val="006F497F"/>
    <w:rsid w:val="006F51D4"/>
    <w:rsid w:val="006F62F9"/>
    <w:rsid w:val="00701D29"/>
    <w:rsid w:val="00703E89"/>
    <w:rsid w:val="007041BC"/>
    <w:rsid w:val="007167F9"/>
    <w:rsid w:val="007210FC"/>
    <w:rsid w:val="0072242F"/>
    <w:rsid w:val="00722F5F"/>
    <w:rsid w:val="00730290"/>
    <w:rsid w:val="00737555"/>
    <w:rsid w:val="00747880"/>
    <w:rsid w:val="00753D1A"/>
    <w:rsid w:val="007604AA"/>
    <w:rsid w:val="00787E5A"/>
    <w:rsid w:val="007A0294"/>
    <w:rsid w:val="007A397B"/>
    <w:rsid w:val="007B21F0"/>
    <w:rsid w:val="007B6376"/>
    <w:rsid w:val="007B655C"/>
    <w:rsid w:val="007C0D28"/>
    <w:rsid w:val="007C6BF0"/>
    <w:rsid w:val="007D785C"/>
    <w:rsid w:val="007E21B1"/>
    <w:rsid w:val="007E28FB"/>
    <w:rsid w:val="007E293A"/>
    <w:rsid w:val="007E2A0C"/>
    <w:rsid w:val="007E63D8"/>
    <w:rsid w:val="007F5A2C"/>
    <w:rsid w:val="0080162C"/>
    <w:rsid w:val="00801891"/>
    <w:rsid w:val="008019E8"/>
    <w:rsid w:val="00806E30"/>
    <w:rsid w:val="00813F0A"/>
    <w:rsid w:val="00817D40"/>
    <w:rsid w:val="00823C0B"/>
    <w:rsid w:val="00830F26"/>
    <w:rsid w:val="0083628D"/>
    <w:rsid w:val="008510D7"/>
    <w:rsid w:val="00851FEA"/>
    <w:rsid w:val="00854726"/>
    <w:rsid w:val="00854B6B"/>
    <w:rsid w:val="00863537"/>
    <w:rsid w:val="008661C9"/>
    <w:rsid w:val="00883EB9"/>
    <w:rsid w:val="0089784B"/>
    <w:rsid w:val="008A6331"/>
    <w:rsid w:val="008A64B2"/>
    <w:rsid w:val="008A6DB8"/>
    <w:rsid w:val="008B7581"/>
    <w:rsid w:val="008C0D3C"/>
    <w:rsid w:val="008C6EC4"/>
    <w:rsid w:val="008E168C"/>
    <w:rsid w:val="008E2C1A"/>
    <w:rsid w:val="008E7CEF"/>
    <w:rsid w:val="008F5584"/>
    <w:rsid w:val="00907882"/>
    <w:rsid w:val="009103DE"/>
    <w:rsid w:val="0091624A"/>
    <w:rsid w:val="00927E18"/>
    <w:rsid w:val="00932C5B"/>
    <w:rsid w:val="0093676B"/>
    <w:rsid w:val="0093730F"/>
    <w:rsid w:val="009446EF"/>
    <w:rsid w:val="00952250"/>
    <w:rsid w:val="00952A8B"/>
    <w:rsid w:val="0096227B"/>
    <w:rsid w:val="0098049B"/>
    <w:rsid w:val="009A40D5"/>
    <w:rsid w:val="009C53C3"/>
    <w:rsid w:val="009D227B"/>
    <w:rsid w:val="009D4CE8"/>
    <w:rsid w:val="009D5015"/>
    <w:rsid w:val="009E3A74"/>
    <w:rsid w:val="009F492D"/>
    <w:rsid w:val="00A059AB"/>
    <w:rsid w:val="00A1159C"/>
    <w:rsid w:val="00A22938"/>
    <w:rsid w:val="00A23A10"/>
    <w:rsid w:val="00A256DA"/>
    <w:rsid w:val="00A43B31"/>
    <w:rsid w:val="00A50AEB"/>
    <w:rsid w:val="00A50F0D"/>
    <w:rsid w:val="00A53522"/>
    <w:rsid w:val="00A6010E"/>
    <w:rsid w:val="00A60967"/>
    <w:rsid w:val="00A67D01"/>
    <w:rsid w:val="00A7178A"/>
    <w:rsid w:val="00A9409E"/>
    <w:rsid w:val="00AA72B6"/>
    <w:rsid w:val="00AB0CBB"/>
    <w:rsid w:val="00AC3239"/>
    <w:rsid w:val="00AD038B"/>
    <w:rsid w:val="00AD3DF7"/>
    <w:rsid w:val="00AD754E"/>
    <w:rsid w:val="00AE0FED"/>
    <w:rsid w:val="00AE3572"/>
    <w:rsid w:val="00AE438A"/>
    <w:rsid w:val="00AE52F3"/>
    <w:rsid w:val="00AF48C4"/>
    <w:rsid w:val="00B0085D"/>
    <w:rsid w:val="00B01508"/>
    <w:rsid w:val="00B060C7"/>
    <w:rsid w:val="00B06E29"/>
    <w:rsid w:val="00B131B2"/>
    <w:rsid w:val="00B21EFE"/>
    <w:rsid w:val="00B22D44"/>
    <w:rsid w:val="00B22DDD"/>
    <w:rsid w:val="00B23E8D"/>
    <w:rsid w:val="00B31E8C"/>
    <w:rsid w:val="00B32DF8"/>
    <w:rsid w:val="00B34204"/>
    <w:rsid w:val="00B464BF"/>
    <w:rsid w:val="00B51DF1"/>
    <w:rsid w:val="00B53D16"/>
    <w:rsid w:val="00B53F4A"/>
    <w:rsid w:val="00B54563"/>
    <w:rsid w:val="00B5544B"/>
    <w:rsid w:val="00B568B9"/>
    <w:rsid w:val="00B6031E"/>
    <w:rsid w:val="00B627E5"/>
    <w:rsid w:val="00B63AB7"/>
    <w:rsid w:val="00B65CA8"/>
    <w:rsid w:val="00B70C19"/>
    <w:rsid w:val="00B729C4"/>
    <w:rsid w:val="00B72EEB"/>
    <w:rsid w:val="00B75F25"/>
    <w:rsid w:val="00B91EB6"/>
    <w:rsid w:val="00B94B66"/>
    <w:rsid w:val="00B9797E"/>
    <w:rsid w:val="00BA59D7"/>
    <w:rsid w:val="00BA6741"/>
    <w:rsid w:val="00BB229F"/>
    <w:rsid w:val="00BC43BE"/>
    <w:rsid w:val="00BC6EC5"/>
    <w:rsid w:val="00BC6EC8"/>
    <w:rsid w:val="00BD312C"/>
    <w:rsid w:val="00BD6C4C"/>
    <w:rsid w:val="00BE43DB"/>
    <w:rsid w:val="00BF2840"/>
    <w:rsid w:val="00C06154"/>
    <w:rsid w:val="00C06F29"/>
    <w:rsid w:val="00C11E4C"/>
    <w:rsid w:val="00C1217A"/>
    <w:rsid w:val="00C3008C"/>
    <w:rsid w:val="00C315B8"/>
    <w:rsid w:val="00C35F16"/>
    <w:rsid w:val="00C436A4"/>
    <w:rsid w:val="00C4502C"/>
    <w:rsid w:val="00C45608"/>
    <w:rsid w:val="00C53B18"/>
    <w:rsid w:val="00C547BD"/>
    <w:rsid w:val="00C60596"/>
    <w:rsid w:val="00C649CD"/>
    <w:rsid w:val="00C662E8"/>
    <w:rsid w:val="00C74B37"/>
    <w:rsid w:val="00C7584F"/>
    <w:rsid w:val="00C80AA6"/>
    <w:rsid w:val="00C81EFE"/>
    <w:rsid w:val="00C845A0"/>
    <w:rsid w:val="00C854E4"/>
    <w:rsid w:val="00C87AA7"/>
    <w:rsid w:val="00C94A23"/>
    <w:rsid w:val="00C950F9"/>
    <w:rsid w:val="00C97743"/>
    <w:rsid w:val="00CA6999"/>
    <w:rsid w:val="00CA7F9F"/>
    <w:rsid w:val="00CB4893"/>
    <w:rsid w:val="00CD032C"/>
    <w:rsid w:val="00CD12E9"/>
    <w:rsid w:val="00CD4CF2"/>
    <w:rsid w:val="00CE058C"/>
    <w:rsid w:val="00CE55B5"/>
    <w:rsid w:val="00CE7F8B"/>
    <w:rsid w:val="00CF062B"/>
    <w:rsid w:val="00CF1491"/>
    <w:rsid w:val="00CF7DFD"/>
    <w:rsid w:val="00D047FC"/>
    <w:rsid w:val="00D11778"/>
    <w:rsid w:val="00D20289"/>
    <w:rsid w:val="00D30696"/>
    <w:rsid w:val="00D3434F"/>
    <w:rsid w:val="00D34A6A"/>
    <w:rsid w:val="00D37AA5"/>
    <w:rsid w:val="00D44B7F"/>
    <w:rsid w:val="00D461DD"/>
    <w:rsid w:val="00D46D43"/>
    <w:rsid w:val="00D5657D"/>
    <w:rsid w:val="00D56EEE"/>
    <w:rsid w:val="00D60267"/>
    <w:rsid w:val="00D64740"/>
    <w:rsid w:val="00D740D8"/>
    <w:rsid w:val="00D875C8"/>
    <w:rsid w:val="00DA1B23"/>
    <w:rsid w:val="00DA6A7F"/>
    <w:rsid w:val="00DB7AEE"/>
    <w:rsid w:val="00DC360C"/>
    <w:rsid w:val="00DD4FD0"/>
    <w:rsid w:val="00DD786E"/>
    <w:rsid w:val="00DE309C"/>
    <w:rsid w:val="00DF09E9"/>
    <w:rsid w:val="00DF324C"/>
    <w:rsid w:val="00E058ED"/>
    <w:rsid w:val="00E06341"/>
    <w:rsid w:val="00E17498"/>
    <w:rsid w:val="00E224E6"/>
    <w:rsid w:val="00E22818"/>
    <w:rsid w:val="00E27E2C"/>
    <w:rsid w:val="00E3303E"/>
    <w:rsid w:val="00E5220F"/>
    <w:rsid w:val="00E64435"/>
    <w:rsid w:val="00E64C48"/>
    <w:rsid w:val="00E74D5F"/>
    <w:rsid w:val="00E87E0D"/>
    <w:rsid w:val="00E91C3B"/>
    <w:rsid w:val="00E937DD"/>
    <w:rsid w:val="00EA7ADE"/>
    <w:rsid w:val="00EC7504"/>
    <w:rsid w:val="00ED26A7"/>
    <w:rsid w:val="00ED2B93"/>
    <w:rsid w:val="00ED49E5"/>
    <w:rsid w:val="00EE15E6"/>
    <w:rsid w:val="00EE2003"/>
    <w:rsid w:val="00EE6243"/>
    <w:rsid w:val="00EE7D52"/>
    <w:rsid w:val="00EF0E5A"/>
    <w:rsid w:val="00EF3F60"/>
    <w:rsid w:val="00F02DFC"/>
    <w:rsid w:val="00F1475F"/>
    <w:rsid w:val="00F156C7"/>
    <w:rsid w:val="00F16C24"/>
    <w:rsid w:val="00F254F3"/>
    <w:rsid w:val="00F31FDC"/>
    <w:rsid w:val="00F3307E"/>
    <w:rsid w:val="00F40B58"/>
    <w:rsid w:val="00F4107B"/>
    <w:rsid w:val="00F47B77"/>
    <w:rsid w:val="00F50AF9"/>
    <w:rsid w:val="00F5126C"/>
    <w:rsid w:val="00F576A8"/>
    <w:rsid w:val="00F6145A"/>
    <w:rsid w:val="00F61A66"/>
    <w:rsid w:val="00F61D03"/>
    <w:rsid w:val="00F73B5D"/>
    <w:rsid w:val="00F75096"/>
    <w:rsid w:val="00FA1F00"/>
    <w:rsid w:val="00FA37E0"/>
    <w:rsid w:val="00FB123A"/>
    <w:rsid w:val="00FC03CA"/>
    <w:rsid w:val="00FC03F3"/>
    <w:rsid w:val="00FD13FE"/>
    <w:rsid w:val="00FE02AB"/>
    <w:rsid w:val="00FE0D33"/>
    <w:rsid w:val="00FF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65667D3"/>
  <w15:docId w15:val="{E5C2CC04-0891-4FD2-A454-4D4A9B1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4381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7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4D5F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0870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70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70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70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7038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23D4"/>
  </w:style>
  <w:style w:type="paragraph" w:styleId="Podnoje">
    <w:name w:val="footer"/>
    <w:basedOn w:val="Normal"/>
    <w:link w:val="Podno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23D4"/>
  </w:style>
  <w:style w:type="paragraph" w:styleId="Revizija">
    <w:name w:val="Revision"/>
    <w:hidden/>
    <w:uiPriority w:val="99"/>
    <w:semiHidden/>
    <w:rsid w:val="00581E44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393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4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BA6741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A6741"/>
    <w:rPr>
      <w:color w:val="605E5C"/>
      <w:shd w:val="clear" w:color="auto" w:fill="E1DFDD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C53C3"/>
    <w:pPr>
      <w:spacing w:after="0" w:line="240" w:lineRule="auto"/>
    </w:pPr>
    <w:rPr>
      <w:rFonts w:eastAsiaTheme="minorEastAsia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C53C3"/>
    <w:rPr>
      <w:rFonts w:eastAsiaTheme="minorEastAsia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9C53C3"/>
    <w:rPr>
      <w:vertAlign w:val="superscript"/>
    </w:rPr>
  </w:style>
  <w:style w:type="paragraph" w:styleId="Bezproreda">
    <w:name w:val="No Spacing"/>
    <w:uiPriority w:val="1"/>
    <w:qFormat/>
    <w:rsid w:val="002247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s.wikipedia.org/wiki/Ivani%C4%87-Grad" TargetMode="External"/><Relationship Id="rId13" Type="http://schemas.openxmlformats.org/officeDocument/2006/relationships/hyperlink" Target="https://bs.wikipedia.org/wiki/Zagreba%C4%8Dka_%C5%BEupanija" TargetMode="External"/><Relationship Id="rId18" Type="http://schemas.openxmlformats.org/officeDocument/2006/relationships/image" Target="media/image2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s.wikipedia.org/wiki/Ivani%C4%87-Grad" TargetMode="External"/><Relationship Id="rId17" Type="http://schemas.openxmlformats.org/officeDocument/2006/relationships/package" Target="embeddings/Microsoft_Excel_Worksheet.xlsx"/><Relationship Id="rId2" Type="http://schemas.openxmlformats.org/officeDocument/2006/relationships/numbering" Target="numbering.xml"/><Relationship Id="rId16" Type="http://schemas.openxmlformats.org/officeDocument/2006/relationships/image" Target="media/image1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s.wikipedia.org/wiki/Zagreba%C4%8Dka_%C5%BEupanij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ag-moslavina.hr" TargetMode="External"/><Relationship Id="rId10" Type="http://schemas.openxmlformats.org/officeDocument/2006/relationships/hyperlink" Target="https://bs.wikipedia.org/wiki/Ivani%C4%87-Grad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s.wikipedia.org/wiki/Zagreba%C4%8Dka_%C5%BEupanija" TargetMode="External"/><Relationship Id="rId14" Type="http://schemas.openxmlformats.org/officeDocument/2006/relationships/hyperlink" Target="https://pzig.hr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6444C-6AAD-4FD3-B320-B57C83F32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13</Pages>
  <Words>3685</Words>
  <Characters>21005</Characters>
  <Application>Microsoft Office Word</Application>
  <DocSecurity>0</DocSecurity>
  <Lines>175</Lines>
  <Paragraphs>49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Ciprijan</dc:creator>
  <cp:lastModifiedBy>Marina Siprak</cp:lastModifiedBy>
  <cp:revision>76</cp:revision>
  <dcterms:created xsi:type="dcterms:W3CDTF">2021-10-25T12:12:00Z</dcterms:created>
  <dcterms:modified xsi:type="dcterms:W3CDTF">2022-01-19T14:37:00Z</dcterms:modified>
</cp:coreProperties>
</file>